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37DAB" w14:textId="712C8227" w:rsidR="00503D9C" w:rsidRDefault="00901D5B" w:rsidP="00BB7810">
      <w:pPr>
        <w:pStyle w:val="ReportTitle"/>
      </w:pPr>
      <w:r>
        <w:t>Margins Notice</w:t>
      </w:r>
    </w:p>
    <w:p w14:paraId="4478F46B" w14:textId="77777777" w:rsidR="00A14091" w:rsidRDefault="00A14091" w:rsidP="00503D9C"/>
    <w:tbl>
      <w:tblPr>
        <w:tblStyle w:val="TableGrid"/>
        <w:tblpPr w:leftFromText="181" w:rightFromText="181" w:vertAnchor="page" w:horzAnchor="margin" w:tblpY="54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9498"/>
      </w:tblGrid>
      <w:tr w:rsidR="00221965" w14:paraId="5A8E1FFA" w14:textId="77777777" w:rsidTr="00221965">
        <w:tc>
          <w:tcPr>
            <w:tcW w:w="9498" w:type="dxa"/>
          </w:tcPr>
          <w:p w14:paraId="1A6973DA" w14:textId="36F3F2EA" w:rsidR="00221965" w:rsidRDefault="00221965" w:rsidP="00221965">
            <w:pPr>
              <w:pStyle w:val="CoverIssueNo"/>
              <w:framePr w:hSpace="0" w:wrap="auto" w:vAnchor="margin" w:yAlign="inline"/>
              <w:suppressOverlap w:val="0"/>
            </w:pPr>
          </w:p>
        </w:tc>
      </w:tr>
    </w:tbl>
    <w:p w14:paraId="64288A27" w14:textId="4E49A1EC" w:rsidR="005D7E19" w:rsidRDefault="00626C0A" w:rsidP="00626C0A">
      <w:pPr>
        <w:pStyle w:val="ReportSubtitle"/>
      </w:pPr>
      <w:r>
        <w:t>Operational Guidance Material</w:t>
      </w:r>
      <w:r w:rsidR="00CA3534">
        <w:t xml:space="preserve"> v2</w:t>
      </w:r>
    </w:p>
    <w:p w14:paraId="0D11E4DC" w14:textId="77777777" w:rsidR="00D0418B" w:rsidRDefault="00D0418B" w:rsidP="00626C0A">
      <w:pPr>
        <w:pStyle w:val="ReportSubtitle"/>
      </w:pPr>
    </w:p>
    <w:p w14:paraId="02C673BC" w14:textId="7998043D" w:rsidR="00D0418B" w:rsidRPr="00D0418B" w:rsidRDefault="00D0418B" w:rsidP="00626C0A">
      <w:pPr>
        <w:pStyle w:val="ReportSubtitle"/>
        <w:rPr>
          <w:sz w:val="28"/>
          <w:szCs w:val="16"/>
        </w:rPr>
        <w:sectPr w:rsidR="00D0418B" w:rsidRPr="00D0418B" w:rsidSect="00520D33">
          <w:headerReference w:type="default" r:id="rId11"/>
          <w:pgSz w:w="11906" w:h="16838"/>
          <w:pgMar w:top="794" w:right="851" w:bottom="284" w:left="851" w:header="397" w:footer="794" w:gutter="0"/>
          <w:cols w:space="708"/>
          <w:docGrid w:linePitch="360"/>
        </w:sectPr>
      </w:pPr>
      <w:r w:rsidRPr="00D0418B">
        <w:rPr>
          <w:sz w:val="28"/>
          <w:szCs w:val="16"/>
        </w:rPr>
        <w:t>January 202</w:t>
      </w:r>
      <w:r w:rsidR="004E6E19">
        <w:rPr>
          <w:sz w:val="28"/>
          <w:szCs w:val="16"/>
        </w:rPr>
        <w:t>5</w:t>
      </w:r>
    </w:p>
    <w:p w14:paraId="1E0597CA" w14:textId="77777777" w:rsidR="00221965" w:rsidRPr="00D0418B" w:rsidRDefault="00221965" w:rsidP="00221965">
      <w:pPr>
        <w:spacing w:after="200" w:line="276" w:lineRule="auto"/>
        <w:rPr>
          <w:rFonts w:ascii="Arial" w:eastAsia="Calibri" w:hAnsi="Arial" w:cs="Arial"/>
          <w:b/>
          <w:bCs/>
          <w:color w:val="00B2A1" w:themeColor="accent6"/>
          <w:szCs w:val="24"/>
        </w:rPr>
      </w:pPr>
      <w:bookmarkStart w:id="0" w:name="_Hlk187765522"/>
      <w:r w:rsidRPr="00D0418B">
        <w:rPr>
          <w:rFonts w:ascii="Arial" w:eastAsia="Calibri" w:hAnsi="Arial" w:cs="Arial"/>
          <w:b/>
          <w:bCs/>
          <w:color w:val="00B2A1" w:themeColor="accent6"/>
          <w:szCs w:val="24"/>
        </w:rPr>
        <w:lastRenderedPageBreak/>
        <w:t>Operational Guidance Material</w:t>
      </w:r>
    </w:p>
    <w:bookmarkEnd w:id="0"/>
    <w:p w14:paraId="579CD967" w14:textId="77777777" w:rsidR="00221965" w:rsidRPr="003E5FA8"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This document forms part of a suite of documents created to provide operationally focused guidance material; the aim of which is to support Shippers in increasing their understanding of non-routine commercial tools utilised by National G</w:t>
      </w:r>
      <w:r>
        <w:rPr>
          <w:rFonts w:ascii="Arial" w:eastAsia="Calibri" w:hAnsi="Arial" w:cs="Arial"/>
          <w:color w:val="333333"/>
          <w:szCs w:val="24"/>
        </w:rPr>
        <w:t>as</w:t>
      </w:r>
      <w:r w:rsidRPr="003E5FA8">
        <w:rPr>
          <w:rFonts w:ascii="Arial" w:eastAsia="Calibri" w:hAnsi="Arial" w:cs="Arial"/>
          <w:color w:val="333333"/>
          <w:szCs w:val="24"/>
        </w:rPr>
        <w:t xml:space="preserve"> so that Shippers can be suitably prepared and ready to participant ahead of an event.</w:t>
      </w:r>
    </w:p>
    <w:p w14:paraId="374D2706" w14:textId="77777777" w:rsidR="00221965" w:rsidRPr="003E5FA8"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The Operational Guidance Documents detail the optimum way to perform the relevant process based on the current systems available.  Where there are alternative ways in which the process could be completed the associated risks and benefits are explored. These documents are not intended to be used a</w:t>
      </w:r>
      <w:r>
        <w:rPr>
          <w:rFonts w:ascii="Arial" w:eastAsia="Calibri" w:hAnsi="Arial" w:cs="Arial"/>
          <w:color w:val="333333"/>
          <w:szCs w:val="24"/>
        </w:rPr>
        <w:t>s</w:t>
      </w:r>
      <w:r w:rsidRPr="003E5FA8">
        <w:rPr>
          <w:rFonts w:ascii="Arial" w:eastAsia="Calibri" w:hAnsi="Arial" w:cs="Arial"/>
          <w:color w:val="333333"/>
          <w:szCs w:val="24"/>
        </w:rPr>
        <w:t xml:space="preserve"> detailed operating process / procedure</w:t>
      </w:r>
      <w:r>
        <w:rPr>
          <w:rFonts w:ascii="Arial" w:eastAsia="Calibri" w:hAnsi="Arial" w:cs="Arial"/>
          <w:color w:val="333333"/>
          <w:szCs w:val="24"/>
        </w:rPr>
        <w:t>s</w:t>
      </w:r>
      <w:r w:rsidRPr="003E5FA8">
        <w:rPr>
          <w:rFonts w:ascii="Arial" w:eastAsia="Calibri" w:hAnsi="Arial" w:cs="Arial"/>
          <w:color w:val="333333"/>
          <w:szCs w:val="24"/>
        </w:rPr>
        <w:t xml:space="preserve">; however, </w:t>
      </w:r>
      <w:r>
        <w:rPr>
          <w:rFonts w:ascii="Arial" w:eastAsia="Calibri" w:hAnsi="Arial" w:cs="Arial"/>
          <w:color w:val="333333"/>
          <w:szCs w:val="24"/>
        </w:rPr>
        <w:t xml:space="preserve">they </w:t>
      </w:r>
      <w:r w:rsidRPr="003E5FA8">
        <w:rPr>
          <w:rFonts w:ascii="Arial" w:eastAsia="Calibri" w:hAnsi="Arial" w:cs="Arial"/>
          <w:color w:val="333333"/>
          <w:szCs w:val="24"/>
        </w:rPr>
        <w:t xml:space="preserve">can be used by each Shipper organisation to assist in creating the operational process steps that are right for them. </w:t>
      </w:r>
    </w:p>
    <w:p w14:paraId="25DEEC85" w14:textId="77777777" w:rsidR="00221965" w:rsidRPr="00FE490A"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 xml:space="preserve">These documents </w:t>
      </w:r>
      <w:r>
        <w:rPr>
          <w:rFonts w:ascii="Arial" w:eastAsia="Calibri" w:hAnsi="Arial" w:cs="Arial"/>
          <w:color w:val="333333"/>
          <w:szCs w:val="24"/>
        </w:rPr>
        <w:t xml:space="preserve">do </w:t>
      </w:r>
      <w:r w:rsidRPr="003E5FA8">
        <w:rPr>
          <w:rFonts w:ascii="Arial" w:eastAsia="Calibri" w:hAnsi="Arial" w:cs="Arial"/>
          <w:color w:val="333333"/>
          <w:szCs w:val="24"/>
        </w:rPr>
        <w:t xml:space="preserve">not preclude changes or development to commercial tools in collaboration with industry in the future. </w:t>
      </w:r>
    </w:p>
    <w:p w14:paraId="74246DE6" w14:textId="77777777" w:rsidR="00221965" w:rsidRDefault="00221965" w:rsidP="00221965">
      <w:pPr>
        <w:rPr>
          <w:rFonts w:ascii="Arial" w:hAnsi="Arial" w:cs="Arial"/>
          <w:color w:val="333333"/>
          <w:szCs w:val="24"/>
        </w:rPr>
      </w:pPr>
    </w:p>
    <w:p w14:paraId="34990A9D"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Margins Notice Information Overview</w:t>
      </w:r>
    </w:p>
    <w:p w14:paraId="6E38FED3"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This document outlines the circumstances in which the Gas National Control </w:t>
      </w:r>
    </w:p>
    <w:p w14:paraId="1B94E408"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Centre (GNCC) may issue a Margins Notice (MN) and details the practicalities for </w:t>
      </w:r>
    </w:p>
    <w:p w14:paraId="39FCD8A7"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users in receipt </w:t>
      </w:r>
      <w:r>
        <w:rPr>
          <w:rFonts w:ascii="Arial" w:hAnsi="Arial" w:cs="Arial"/>
          <w:color w:val="333333"/>
          <w:szCs w:val="24"/>
        </w:rPr>
        <w:t xml:space="preserve">of </w:t>
      </w:r>
      <w:r w:rsidRPr="00FE490A">
        <w:rPr>
          <w:rFonts w:ascii="Arial" w:hAnsi="Arial" w:cs="Arial"/>
          <w:color w:val="333333"/>
          <w:szCs w:val="24"/>
        </w:rPr>
        <w:t>one. The following topics are covered below</w:t>
      </w:r>
      <w:r>
        <w:rPr>
          <w:rFonts w:ascii="Arial" w:hAnsi="Arial" w:cs="Arial"/>
          <w:color w:val="333333"/>
          <w:szCs w:val="24"/>
        </w:rPr>
        <w:t>:</w:t>
      </w:r>
      <w:r>
        <w:rPr>
          <w:rFonts w:ascii="Arial" w:hAnsi="Arial" w:cs="Arial"/>
          <w:color w:val="333333"/>
          <w:szCs w:val="24"/>
        </w:rPr>
        <w:br/>
      </w:r>
      <w:r w:rsidRPr="00FE490A">
        <w:rPr>
          <w:rFonts w:ascii="Arial" w:hAnsi="Arial" w:cs="Arial"/>
          <w:color w:val="333333"/>
          <w:szCs w:val="24"/>
        </w:rPr>
        <w:t xml:space="preserve"> </w:t>
      </w:r>
    </w:p>
    <w:p w14:paraId="34105F07"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 The objective of a Margins Notice </w:t>
      </w:r>
    </w:p>
    <w:p w14:paraId="731A59A5" w14:textId="77777777" w:rsidR="00221965" w:rsidRDefault="00221965" w:rsidP="00221965">
      <w:pPr>
        <w:rPr>
          <w:rFonts w:ascii="Arial" w:hAnsi="Arial" w:cs="Arial"/>
          <w:color w:val="333333"/>
          <w:szCs w:val="24"/>
        </w:rPr>
      </w:pPr>
      <w:r w:rsidRPr="00FE490A">
        <w:rPr>
          <w:rFonts w:ascii="Arial" w:hAnsi="Arial" w:cs="Arial"/>
          <w:color w:val="333333"/>
          <w:szCs w:val="24"/>
        </w:rPr>
        <w:t>• Circumstances where a Margins Notice occurs</w:t>
      </w:r>
    </w:p>
    <w:p w14:paraId="54EE016E"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 </w:t>
      </w:r>
      <w:r>
        <w:rPr>
          <w:rFonts w:ascii="Arial" w:hAnsi="Arial" w:cs="Arial"/>
          <w:color w:val="333333"/>
          <w:szCs w:val="24"/>
        </w:rPr>
        <w:t>Margins Notice Trigger and Forecasts</w:t>
      </w:r>
      <w:r w:rsidRPr="00FE490A">
        <w:rPr>
          <w:rFonts w:ascii="Arial" w:hAnsi="Arial" w:cs="Arial"/>
          <w:color w:val="333333"/>
          <w:szCs w:val="24"/>
        </w:rPr>
        <w:t xml:space="preserve">  </w:t>
      </w:r>
    </w:p>
    <w:p w14:paraId="49B9C7C8" w14:textId="77777777" w:rsidR="00221965" w:rsidRDefault="00221965" w:rsidP="00221965">
      <w:pPr>
        <w:rPr>
          <w:rFonts w:ascii="Arial" w:hAnsi="Arial" w:cs="Arial"/>
          <w:color w:val="333333"/>
          <w:szCs w:val="24"/>
        </w:rPr>
      </w:pPr>
      <w:r w:rsidRPr="00FE490A">
        <w:rPr>
          <w:rFonts w:ascii="Arial" w:hAnsi="Arial" w:cs="Arial"/>
          <w:color w:val="333333"/>
          <w:szCs w:val="24"/>
        </w:rPr>
        <w:t xml:space="preserve">• Overview of the </w:t>
      </w:r>
      <w:r>
        <w:rPr>
          <w:rFonts w:ascii="Arial" w:hAnsi="Arial" w:cs="Arial"/>
          <w:color w:val="333333"/>
          <w:szCs w:val="24"/>
        </w:rPr>
        <w:t xml:space="preserve">UNC </w:t>
      </w:r>
      <w:r w:rsidRPr="00FE490A">
        <w:rPr>
          <w:rFonts w:ascii="Arial" w:hAnsi="Arial" w:cs="Arial"/>
          <w:color w:val="333333"/>
          <w:szCs w:val="24"/>
        </w:rPr>
        <w:t>Margins Notice Proces</w:t>
      </w:r>
      <w:r>
        <w:rPr>
          <w:rFonts w:ascii="Arial" w:hAnsi="Arial" w:cs="Arial"/>
          <w:color w:val="333333"/>
          <w:szCs w:val="24"/>
        </w:rPr>
        <w:t>s</w:t>
      </w:r>
    </w:p>
    <w:p w14:paraId="77320FEE"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Overview of the</w:t>
      </w:r>
      <w:r>
        <w:rPr>
          <w:rFonts w:ascii="Arial" w:hAnsi="Arial" w:cs="Arial"/>
          <w:color w:val="333333"/>
          <w:szCs w:val="24"/>
        </w:rPr>
        <w:t xml:space="preserve"> 7 Day Forecast Margins Notice Process</w:t>
      </w:r>
    </w:p>
    <w:p w14:paraId="569A1A37" w14:textId="77777777" w:rsidR="00221965" w:rsidRDefault="00221965" w:rsidP="00221965">
      <w:pPr>
        <w:rPr>
          <w:rFonts w:ascii="Arial" w:hAnsi="Arial" w:cs="Arial"/>
          <w:color w:val="333333"/>
          <w:szCs w:val="24"/>
        </w:rPr>
      </w:pPr>
      <w:r w:rsidRPr="00FE490A">
        <w:rPr>
          <w:rFonts w:ascii="Arial" w:hAnsi="Arial" w:cs="Arial"/>
          <w:color w:val="333333"/>
          <w:szCs w:val="24"/>
        </w:rPr>
        <w:t>• Additional Information</w:t>
      </w:r>
      <w:r>
        <w:rPr>
          <w:rFonts w:ascii="Arial" w:hAnsi="Arial" w:cs="Arial"/>
          <w:color w:val="333333"/>
          <w:szCs w:val="24"/>
        </w:rPr>
        <w:t>: Calculation Suma</w:t>
      </w:r>
    </w:p>
    <w:p w14:paraId="70EC9A73" w14:textId="77777777" w:rsidR="00221965" w:rsidRDefault="00221965" w:rsidP="00221965">
      <w:pPr>
        <w:rPr>
          <w:rFonts w:ascii="Arial" w:hAnsi="Arial" w:cs="Arial"/>
          <w:color w:val="333333"/>
          <w:szCs w:val="24"/>
        </w:rPr>
      </w:pPr>
    </w:p>
    <w:p w14:paraId="3FEE3240"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Objective of a Margins Notice</w:t>
      </w:r>
    </w:p>
    <w:p w14:paraId="300AA07C" w14:textId="6BC42E68" w:rsidR="00221965" w:rsidRPr="00FC672E" w:rsidRDefault="00221965" w:rsidP="00221965">
      <w:pPr>
        <w:rPr>
          <w:rFonts w:ascii="Arial" w:hAnsi="Arial" w:cs="Arial"/>
          <w:color w:val="333333"/>
          <w:szCs w:val="24"/>
        </w:rPr>
      </w:pPr>
      <w:r w:rsidRPr="00FC672E">
        <w:rPr>
          <w:rFonts w:ascii="Arial" w:hAnsi="Arial" w:cs="Arial"/>
          <w:color w:val="333333"/>
          <w:szCs w:val="24"/>
        </w:rPr>
        <w:t>The intent of a Margins Notice is to provide an earl</w:t>
      </w:r>
      <w:r w:rsidR="004E6E19">
        <w:rPr>
          <w:rFonts w:ascii="Arial" w:hAnsi="Arial" w:cs="Arial"/>
          <w:color w:val="333333"/>
          <w:szCs w:val="24"/>
        </w:rPr>
        <w:t>y</w:t>
      </w:r>
      <w:r w:rsidRPr="00FC672E">
        <w:rPr>
          <w:rFonts w:ascii="Arial" w:hAnsi="Arial" w:cs="Arial"/>
          <w:color w:val="333333"/>
          <w:szCs w:val="24"/>
        </w:rPr>
        <w:t xml:space="preserve">, </w:t>
      </w:r>
      <w:proofErr w:type="gramStart"/>
      <w:r w:rsidRPr="00FC672E">
        <w:rPr>
          <w:rFonts w:ascii="Arial" w:hAnsi="Arial" w:cs="Arial"/>
          <w:color w:val="333333"/>
          <w:szCs w:val="24"/>
        </w:rPr>
        <w:t>high level</w:t>
      </w:r>
      <w:proofErr w:type="gramEnd"/>
      <w:r w:rsidRPr="00FC672E">
        <w:rPr>
          <w:rFonts w:ascii="Arial" w:hAnsi="Arial" w:cs="Arial"/>
          <w:color w:val="333333"/>
          <w:szCs w:val="24"/>
        </w:rPr>
        <w:t xml:space="preserve"> notice to NTS users </w:t>
      </w:r>
    </w:p>
    <w:p w14:paraId="22BB89B8" w14:textId="77777777" w:rsidR="00221965" w:rsidRPr="00FC672E" w:rsidRDefault="00221965" w:rsidP="00221965">
      <w:pPr>
        <w:rPr>
          <w:rFonts w:ascii="Arial" w:hAnsi="Arial" w:cs="Arial"/>
          <w:color w:val="333333"/>
          <w:szCs w:val="24"/>
        </w:rPr>
      </w:pPr>
      <w:r w:rsidRPr="00FC672E">
        <w:rPr>
          <w:rFonts w:ascii="Arial" w:hAnsi="Arial" w:cs="Arial"/>
          <w:color w:val="333333"/>
          <w:szCs w:val="24"/>
        </w:rPr>
        <w:t xml:space="preserve">of a potential physical imbalance for the upcoming gas day, encouraging them to </w:t>
      </w:r>
    </w:p>
    <w:p w14:paraId="0F9F1510" w14:textId="77777777" w:rsidR="00221965" w:rsidRPr="00FC672E" w:rsidRDefault="00221965" w:rsidP="00221965">
      <w:pPr>
        <w:rPr>
          <w:rFonts w:ascii="Arial" w:hAnsi="Arial" w:cs="Arial"/>
          <w:color w:val="333333"/>
          <w:szCs w:val="24"/>
        </w:rPr>
      </w:pPr>
      <w:r w:rsidRPr="00FC672E">
        <w:rPr>
          <w:rFonts w:ascii="Arial" w:hAnsi="Arial" w:cs="Arial"/>
          <w:color w:val="333333"/>
          <w:szCs w:val="24"/>
        </w:rPr>
        <w:t xml:space="preserve">consult </w:t>
      </w:r>
      <w:r>
        <w:rPr>
          <w:rFonts w:ascii="Arial" w:hAnsi="Arial" w:cs="Arial"/>
          <w:color w:val="333333"/>
          <w:szCs w:val="24"/>
        </w:rPr>
        <w:t>a</w:t>
      </w:r>
      <w:r w:rsidRPr="00FC672E">
        <w:rPr>
          <w:rFonts w:ascii="Arial" w:hAnsi="Arial" w:cs="Arial"/>
          <w:color w:val="333333"/>
          <w:szCs w:val="24"/>
        </w:rPr>
        <w:t xml:space="preserve"> rolling Daily Margins Report to reassess their position and ability to </w:t>
      </w:r>
    </w:p>
    <w:p w14:paraId="64F7C9A6" w14:textId="77777777" w:rsidR="00221965" w:rsidRDefault="00221965" w:rsidP="00221965">
      <w:pPr>
        <w:rPr>
          <w:rFonts w:ascii="Arial" w:hAnsi="Arial" w:cs="Arial"/>
          <w:color w:val="333333"/>
          <w:szCs w:val="24"/>
        </w:rPr>
      </w:pPr>
      <w:r w:rsidRPr="00FC672E">
        <w:rPr>
          <w:rFonts w:ascii="Arial" w:hAnsi="Arial" w:cs="Arial"/>
          <w:color w:val="333333"/>
          <w:szCs w:val="24"/>
        </w:rPr>
        <w:t>balance.</w:t>
      </w:r>
      <w:r>
        <w:rPr>
          <w:rFonts w:ascii="Arial" w:hAnsi="Arial" w:cs="Arial"/>
          <w:color w:val="333333"/>
          <w:szCs w:val="24"/>
        </w:rPr>
        <w:t xml:space="preserve"> As well as day-ahead and within day information, National Gas also publish forecasts of the potential Margins Notice position up to 7 days ahead</w:t>
      </w:r>
    </w:p>
    <w:p w14:paraId="10FFC00C" w14:textId="77777777" w:rsidR="00221965" w:rsidRDefault="00221965" w:rsidP="00221965">
      <w:pPr>
        <w:rPr>
          <w:rFonts w:ascii="Arial" w:hAnsi="Arial" w:cs="Arial"/>
          <w:color w:val="333333"/>
          <w:szCs w:val="24"/>
        </w:rPr>
      </w:pPr>
    </w:p>
    <w:p w14:paraId="2A5A0B5C" w14:textId="77777777" w:rsidR="004E6E19" w:rsidRDefault="004E6E19" w:rsidP="00221965">
      <w:pPr>
        <w:spacing w:after="200" w:line="276" w:lineRule="auto"/>
        <w:rPr>
          <w:rFonts w:ascii="Arial" w:eastAsia="Calibri" w:hAnsi="Arial" w:cs="Arial"/>
          <w:b/>
          <w:bCs/>
          <w:color w:val="00148C"/>
          <w:szCs w:val="24"/>
        </w:rPr>
      </w:pPr>
    </w:p>
    <w:p w14:paraId="6793A1C1" w14:textId="52F20942"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lastRenderedPageBreak/>
        <w:t>Circumstances when a Margins Notice Occurs</w:t>
      </w:r>
    </w:p>
    <w:p w14:paraId="25B15756" w14:textId="77777777" w:rsidR="00221965" w:rsidRDefault="00221965" w:rsidP="00221965">
      <w:pPr>
        <w:rPr>
          <w:rFonts w:ascii="Arial" w:hAnsi="Arial" w:cs="Arial"/>
          <w:color w:val="333333"/>
          <w:szCs w:val="24"/>
        </w:rPr>
      </w:pPr>
    </w:p>
    <w:p w14:paraId="1F703923" w14:textId="77777777" w:rsidR="00221965" w:rsidRDefault="00221965" w:rsidP="00221965">
      <w:pPr>
        <w:rPr>
          <w:rFonts w:ascii="Arial" w:hAnsi="Arial" w:cs="Arial"/>
          <w:color w:val="333333"/>
          <w:szCs w:val="24"/>
        </w:rPr>
      </w:pPr>
      <w:r w:rsidRPr="00F25C24">
        <w:rPr>
          <w:rFonts w:ascii="Arial" w:hAnsi="Arial" w:cs="Arial"/>
          <w:color w:val="333333"/>
          <w:szCs w:val="24"/>
        </w:rPr>
        <w:t>A Margins Notice will be issued if the day ahead (D-1) total NTS forecast system demand is equal to or greater than the Expected Available Supply (EAC). EAC comprises of the sum of the NTS’ Non-Storage Supply (NSS) assumptions plus Liquified Natural Gas (LNG) and Storage Deliverability (SD) that qualifies under the prevailing Safety Monitor requirements.</w:t>
      </w:r>
      <w:r>
        <w:rPr>
          <w:rFonts w:ascii="Arial" w:hAnsi="Arial" w:cs="Arial"/>
          <w:color w:val="333333"/>
          <w:szCs w:val="24"/>
        </w:rPr>
        <w:t xml:space="preserve"> </w:t>
      </w:r>
    </w:p>
    <w:p w14:paraId="2F4CC4B7" w14:textId="77777777" w:rsidR="00221965" w:rsidRPr="00F25C24" w:rsidRDefault="00221965" w:rsidP="00221965">
      <w:pPr>
        <w:rPr>
          <w:rFonts w:ascii="Arial" w:hAnsi="Arial" w:cs="Arial"/>
          <w:color w:val="333333"/>
          <w:szCs w:val="24"/>
        </w:rPr>
      </w:pPr>
      <w:r w:rsidRPr="00F25C24">
        <w:rPr>
          <w:rFonts w:ascii="Arial" w:hAnsi="Arial" w:cs="Arial"/>
          <w:color w:val="333333"/>
          <w:szCs w:val="24"/>
        </w:rPr>
        <w:t>Should the day ahead (D-1) total NTS forecast system demand be within 95% of the Expected Available Supply (EAC) than alert will also be sent to industry informing them of this.</w:t>
      </w:r>
    </w:p>
    <w:p w14:paraId="2F236185" w14:textId="77777777" w:rsidR="00221965" w:rsidRDefault="00221965" w:rsidP="00221965">
      <w:pPr>
        <w:rPr>
          <w:rFonts w:ascii="Arial" w:hAnsi="Arial" w:cs="Arial"/>
          <w:color w:val="333333"/>
          <w:szCs w:val="24"/>
        </w:rPr>
      </w:pPr>
      <w:r w:rsidRPr="00F25C24">
        <w:rPr>
          <w:rFonts w:ascii="Arial" w:hAnsi="Arial" w:cs="Arial"/>
          <w:color w:val="333333"/>
          <w:szCs w:val="24"/>
        </w:rPr>
        <w:t>Safety Monitor requirements are in place so that if required, storage withdrawals can be curtailed, to maintain a buffer for customers who cannot be safely isolated from the gas network for physical balancing. A Margins notice will not be withdrawn for the remainder of the applicable gas day but can be superseded by a Gas Balancing Warning.</w:t>
      </w:r>
    </w:p>
    <w:p w14:paraId="7B60F844" w14:textId="77777777" w:rsidR="00221965" w:rsidRDefault="00221965" w:rsidP="00221965">
      <w:pPr>
        <w:rPr>
          <w:rFonts w:ascii="Arial" w:hAnsi="Arial" w:cs="Arial"/>
          <w:color w:val="333333"/>
          <w:szCs w:val="24"/>
        </w:rPr>
      </w:pPr>
    </w:p>
    <w:p w14:paraId="52213772"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Margins Notice Trigger and Forecasts</w:t>
      </w:r>
    </w:p>
    <w:p w14:paraId="5F58FC3C" w14:textId="77777777" w:rsidR="00221965" w:rsidRDefault="00221965" w:rsidP="00221965">
      <w:pPr>
        <w:rPr>
          <w:rFonts w:ascii="Arial" w:hAnsi="Arial" w:cs="Arial"/>
          <w:color w:val="333333"/>
          <w:szCs w:val="24"/>
        </w:rPr>
      </w:pPr>
      <w:r>
        <w:rPr>
          <w:rFonts w:ascii="Arial" w:hAnsi="Arial" w:cs="Arial"/>
          <w:color w:val="333333"/>
          <w:szCs w:val="24"/>
        </w:rPr>
        <w:t xml:space="preserve">At Day Ahead if the Demand Forecast is above the Margins Notice trigger value, then a Margins Notice will be published. D-2 to D-7 values </w:t>
      </w:r>
      <w:proofErr w:type="gramStart"/>
      <w:r>
        <w:rPr>
          <w:rFonts w:ascii="Arial" w:hAnsi="Arial" w:cs="Arial"/>
          <w:color w:val="333333"/>
          <w:szCs w:val="24"/>
        </w:rPr>
        <w:t>are</w:t>
      </w:r>
      <w:proofErr w:type="gramEnd"/>
      <w:r>
        <w:rPr>
          <w:rFonts w:ascii="Arial" w:hAnsi="Arial" w:cs="Arial"/>
          <w:color w:val="333333"/>
          <w:szCs w:val="24"/>
        </w:rPr>
        <w:t xml:space="preserve"> used as an indication the risk of a Margins Notice being published in the week ahead.</w:t>
      </w:r>
    </w:p>
    <w:p w14:paraId="73D1723E" w14:textId="77777777" w:rsidR="00221965" w:rsidRDefault="00221965" w:rsidP="00221965">
      <w:pPr>
        <w:rPr>
          <w:rFonts w:ascii="Arial" w:hAnsi="Arial" w:cs="Arial"/>
          <w:color w:val="333333"/>
          <w:szCs w:val="24"/>
        </w:rPr>
      </w:pPr>
      <w:r>
        <w:rPr>
          <w:rFonts w:ascii="Arial" w:hAnsi="Arial" w:cs="Arial"/>
          <w:color w:val="333333"/>
          <w:szCs w:val="24"/>
        </w:rPr>
        <w:t xml:space="preserve">This guide covers 2 processes – a UNC defined Margins Notice process (defined in </w:t>
      </w:r>
      <w:r w:rsidRPr="007976EC">
        <w:rPr>
          <w:rFonts w:ascii="Arial" w:hAnsi="Arial" w:cs="Arial"/>
          <w:color w:val="333333"/>
          <w:szCs w:val="24"/>
        </w:rPr>
        <w:t>UNC TPD Section V 5.9</w:t>
      </w:r>
      <w:r>
        <w:rPr>
          <w:rFonts w:ascii="Arial" w:hAnsi="Arial" w:cs="Arial"/>
          <w:color w:val="333333"/>
          <w:szCs w:val="24"/>
        </w:rPr>
        <w:t xml:space="preserve">), which is used the define the Margins Notice trigger </w:t>
      </w:r>
      <w:proofErr w:type="spellStart"/>
      <w:r>
        <w:rPr>
          <w:rFonts w:ascii="Arial" w:hAnsi="Arial" w:cs="Arial"/>
          <w:color w:val="333333"/>
          <w:szCs w:val="24"/>
        </w:rPr>
        <w:t>at</w:t>
      </w:r>
      <w:proofErr w:type="spellEnd"/>
      <w:r>
        <w:rPr>
          <w:rFonts w:ascii="Arial" w:hAnsi="Arial" w:cs="Arial"/>
          <w:color w:val="333333"/>
          <w:szCs w:val="24"/>
        </w:rPr>
        <w:t xml:space="preserve"> Day ahead stage, </w:t>
      </w:r>
      <w:proofErr w:type="gramStart"/>
      <w:r>
        <w:rPr>
          <w:rFonts w:ascii="Arial" w:hAnsi="Arial" w:cs="Arial"/>
          <w:color w:val="333333"/>
          <w:szCs w:val="24"/>
        </w:rPr>
        <w:t>and also</w:t>
      </w:r>
      <w:proofErr w:type="gramEnd"/>
      <w:r>
        <w:rPr>
          <w:rFonts w:ascii="Arial" w:hAnsi="Arial" w:cs="Arial"/>
          <w:color w:val="333333"/>
          <w:szCs w:val="24"/>
        </w:rPr>
        <w:t xml:space="preserve"> forecasts for D-2 to D-5. It also includes a newer methodology introduced in 2022, which provides a forecast up to D-7, calculated in a different way to the UNC methodology for a more ‘realistic’ view. The newer methodology is intended to be used as additional information for the industry.</w:t>
      </w:r>
    </w:p>
    <w:p w14:paraId="4518BCAB" w14:textId="77777777" w:rsidR="00221965" w:rsidRDefault="00221965" w:rsidP="00221965">
      <w:pPr>
        <w:rPr>
          <w:rFonts w:ascii="Arial" w:hAnsi="Arial" w:cs="Arial"/>
          <w:color w:val="333333"/>
          <w:szCs w:val="24"/>
        </w:rPr>
      </w:pPr>
    </w:p>
    <w:p w14:paraId="610AC79B"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Overview of the UNC Margins Notice Process</w:t>
      </w:r>
    </w:p>
    <w:p w14:paraId="75987D31" w14:textId="77777777" w:rsidR="00221965" w:rsidRDefault="00221965" w:rsidP="00221965">
      <w:pPr>
        <w:rPr>
          <w:rFonts w:ascii="Arial" w:hAnsi="Arial" w:cs="Arial"/>
          <w:color w:val="333333"/>
          <w:szCs w:val="24"/>
        </w:rPr>
      </w:pPr>
      <w:r w:rsidRPr="00407AE4">
        <w:rPr>
          <w:rFonts w:ascii="Arial" w:hAnsi="Arial" w:cs="Arial"/>
          <w:color w:val="333333"/>
          <w:szCs w:val="24"/>
        </w:rPr>
        <w:t xml:space="preserve">The Daily Margins Report is run by the GNCC after 14:00 each day and available online at: </w:t>
      </w:r>
      <w:hyperlink r:id="rId12" w:history="1">
        <w:r w:rsidRPr="006E43DE">
          <w:rPr>
            <w:rStyle w:val="Hyperlink"/>
            <w:rFonts w:ascii="Arial" w:hAnsi="Arial" w:cs="Arial"/>
            <w:szCs w:val="24"/>
          </w:rPr>
          <w:t>https://www.nationalgas.com/our-businesses/margins-notice-gas-balancing-notification</w:t>
        </w:r>
      </w:hyperlink>
      <w:r>
        <w:rPr>
          <w:rFonts w:ascii="Arial" w:hAnsi="Arial" w:cs="Arial"/>
          <w:color w:val="333333"/>
          <w:szCs w:val="24"/>
        </w:rPr>
        <w:t xml:space="preserve"> </w:t>
      </w:r>
    </w:p>
    <w:p w14:paraId="7607B29D" w14:textId="77777777" w:rsidR="00221965" w:rsidRDefault="00221965" w:rsidP="00221965">
      <w:pPr>
        <w:rPr>
          <w:rFonts w:ascii="Arial" w:hAnsi="Arial" w:cs="Arial"/>
          <w:color w:val="333333"/>
          <w:szCs w:val="24"/>
        </w:rPr>
      </w:pPr>
      <w:r>
        <w:rPr>
          <w:rFonts w:ascii="Arial" w:hAnsi="Arial" w:cs="Arial"/>
          <w:color w:val="333333"/>
          <w:szCs w:val="24"/>
        </w:rPr>
        <w:t xml:space="preserve">Margins Notice trigger levels and forecasts are also available on the Gas System Status Summary page: </w:t>
      </w:r>
      <w:hyperlink r:id="rId13" w:history="1">
        <w:r w:rsidRPr="006E43DE">
          <w:rPr>
            <w:rStyle w:val="Hyperlink"/>
            <w:rFonts w:ascii="Arial" w:hAnsi="Arial" w:cs="Arial"/>
            <w:szCs w:val="24"/>
          </w:rPr>
          <w:t>https://data.nationalgas.com/gas-system-status</w:t>
        </w:r>
      </w:hyperlink>
      <w:r>
        <w:rPr>
          <w:rFonts w:ascii="Arial" w:hAnsi="Arial" w:cs="Arial"/>
          <w:color w:val="333333"/>
          <w:szCs w:val="24"/>
        </w:rPr>
        <w:t xml:space="preserve"> </w:t>
      </w:r>
    </w:p>
    <w:p w14:paraId="205C2DF1" w14:textId="77777777" w:rsidR="00221965" w:rsidRPr="00407AE4" w:rsidRDefault="00221965" w:rsidP="00221965">
      <w:pPr>
        <w:rPr>
          <w:rFonts w:ascii="Arial" w:hAnsi="Arial" w:cs="Arial"/>
          <w:color w:val="333333"/>
          <w:szCs w:val="24"/>
        </w:rPr>
      </w:pPr>
      <w:r w:rsidRPr="00407AE4">
        <w:rPr>
          <w:rFonts w:ascii="Arial" w:hAnsi="Arial" w:cs="Arial"/>
          <w:color w:val="333333"/>
          <w:szCs w:val="24"/>
        </w:rPr>
        <w:t xml:space="preserve">If a GBN is in place, this will be displayed at the top </w:t>
      </w:r>
      <w:r>
        <w:rPr>
          <w:rFonts w:ascii="Arial" w:hAnsi="Arial" w:cs="Arial"/>
          <w:color w:val="333333"/>
          <w:szCs w:val="24"/>
        </w:rPr>
        <w:t xml:space="preserve">next to </w:t>
      </w:r>
      <w:r w:rsidRPr="00407AE4">
        <w:rPr>
          <w:rFonts w:ascii="Arial" w:hAnsi="Arial" w:cs="Arial"/>
          <w:color w:val="333333"/>
          <w:szCs w:val="24"/>
        </w:rPr>
        <w:t>Gas System Status”</w:t>
      </w:r>
      <w:r>
        <w:rPr>
          <w:rFonts w:ascii="Arial" w:hAnsi="Arial" w:cs="Arial"/>
          <w:color w:val="333333"/>
          <w:szCs w:val="24"/>
        </w:rPr>
        <w:t xml:space="preserve">; </w:t>
      </w:r>
      <w:r w:rsidRPr="00407AE4">
        <w:rPr>
          <w:rFonts w:ascii="Arial" w:hAnsi="Arial" w:cs="Arial"/>
          <w:color w:val="333333"/>
          <w:szCs w:val="24"/>
        </w:rPr>
        <w:t xml:space="preserve">the ANS message will also be available on that page. Under “Gas Balancing Notifications” is the level of forecast demand which would be sufficient to trigger a Margins Notice; this can be compared against the forecast demand to give an indication of the current relative conditions of the NTS. </w:t>
      </w:r>
    </w:p>
    <w:p w14:paraId="0B5B489A" w14:textId="77777777" w:rsidR="00221965" w:rsidRDefault="00221965" w:rsidP="00221965">
      <w:pPr>
        <w:rPr>
          <w:rFonts w:ascii="Arial" w:hAnsi="Arial" w:cs="Arial"/>
          <w:color w:val="333333"/>
          <w:szCs w:val="24"/>
        </w:rPr>
      </w:pPr>
      <w:r w:rsidRPr="00407AE4">
        <w:rPr>
          <w:rFonts w:ascii="Arial" w:hAnsi="Arial" w:cs="Arial"/>
          <w:color w:val="333333"/>
          <w:szCs w:val="24"/>
        </w:rPr>
        <w:t>Should the daily process identify that a Margins Notice is required, it will be issued to all NTS users during D-1 in the format of an ANS, including the date of the following gas day for which the notice applies and information regarding further data for users.</w:t>
      </w:r>
    </w:p>
    <w:p w14:paraId="42B9B044" w14:textId="77777777" w:rsidR="004E6E19" w:rsidRDefault="004E6E19" w:rsidP="00221965">
      <w:pPr>
        <w:rPr>
          <w:rFonts w:ascii="Arial" w:hAnsi="Arial" w:cs="Arial"/>
          <w:i/>
          <w:iCs/>
          <w:color w:val="333333"/>
          <w:szCs w:val="24"/>
        </w:rPr>
      </w:pPr>
    </w:p>
    <w:p w14:paraId="012F5878" w14:textId="6559D7D3" w:rsidR="00221965" w:rsidRDefault="00221965" w:rsidP="00221965">
      <w:pPr>
        <w:rPr>
          <w:rFonts w:ascii="Arial" w:hAnsi="Arial" w:cs="Arial"/>
          <w:i/>
          <w:iCs/>
          <w:color w:val="333333"/>
          <w:sz w:val="22"/>
        </w:rPr>
      </w:pPr>
      <w:r w:rsidRPr="005A648B">
        <w:rPr>
          <w:rFonts w:ascii="Arial" w:hAnsi="Arial" w:cs="Arial"/>
          <w:i/>
          <w:iCs/>
          <w:color w:val="333333"/>
          <w:sz w:val="22"/>
        </w:rPr>
        <w:lastRenderedPageBreak/>
        <w:t xml:space="preserve">Figure </w:t>
      </w:r>
      <w:r>
        <w:rPr>
          <w:rFonts w:ascii="Arial" w:hAnsi="Arial" w:cs="Arial"/>
          <w:i/>
          <w:iCs/>
          <w:color w:val="333333"/>
          <w:sz w:val="22"/>
        </w:rPr>
        <w:t xml:space="preserve">1 </w:t>
      </w:r>
      <w:r w:rsidRPr="005A648B">
        <w:rPr>
          <w:rFonts w:ascii="Arial" w:hAnsi="Arial" w:cs="Arial"/>
          <w:i/>
          <w:iCs/>
          <w:color w:val="333333"/>
          <w:sz w:val="22"/>
        </w:rPr>
        <w:t xml:space="preserve">Margins Notice Trigger and Demand </w:t>
      </w:r>
      <w:r>
        <w:rPr>
          <w:rFonts w:ascii="Arial" w:hAnsi="Arial" w:cs="Arial"/>
          <w:i/>
          <w:iCs/>
          <w:color w:val="333333"/>
          <w:sz w:val="22"/>
        </w:rPr>
        <w:t xml:space="preserve">Forecast </w:t>
      </w:r>
      <w:r w:rsidRPr="005A648B">
        <w:rPr>
          <w:rFonts w:ascii="Arial" w:hAnsi="Arial" w:cs="Arial"/>
          <w:i/>
          <w:iCs/>
          <w:color w:val="333333"/>
          <w:sz w:val="22"/>
        </w:rPr>
        <w:t xml:space="preserve">on </w:t>
      </w:r>
      <w:r>
        <w:rPr>
          <w:rFonts w:ascii="Arial" w:hAnsi="Arial" w:cs="Arial"/>
          <w:i/>
          <w:iCs/>
          <w:color w:val="333333"/>
          <w:sz w:val="22"/>
        </w:rPr>
        <w:t>Gas System Status</w:t>
      </w:r>
      <w:r w:rsidRPr="005A648B">
        <w:rPr>
          <w:rFonts w:ascii="Arial" w:hAnsi="Arial" w:cs="Arial"/>
          <w:i/>
          <w:iCs/>
          <w:color w:val="333333"/>
          <w:sz w:val="22"/>
        </w:rPr>
        <w:t xml:space="preserve"> </w:t>
      </w:r>
      <w:r>
        <w:rPr>
          <w:rFonts w:ascii="Arial" w:hAnsi="Arial" w:cs="Arial"/>
          <w:i/>
          <w:iCs/>
          <w:color w:val="333333"/>
          <w:sz w:val="22"/>
        </w:rPr>
        <w:t>for the day ahead</w:t>
      </w:r>
      <w:r w:rsidRPr="005A648B">
        <w:rPr>
          <w:rFonts w:ascii="Arial" w:hAnsi="Arial" w:cs="Arial"/>
          <w:i/>
          <w:iCs/>
          <w:color w:val="333333"/>
          <w:sz w:val="22"/>
        </w:rPr>
        <w:t>:</w:t>
      </w:r>
    </w:p>
    <w:p w14:paraId="260E36D2" w14:textId="77777777" w:rsidR="004E6E19" w:rsidRPr="005A648B" w:rsidRDefault="004E6E19" w:rsidP="00221965">
      <w:pPr>
        <w:rPr>
          <w:rFonts w:ascii="Arial" w:hAnsi="Arial" w:cs="Arial"/>
          <w:i/>
          <w:iCs/>
          <w:color w:val="333333"/>
          <w:sz w:val="22"/>
        </w:rPr>
      </w:pPr>
    </w:p>
    <w:p w14:paraId="1061ADF7" w14:textId="77777777" w:rsidR="00221965" w:rsidRDefault="00221965" w:rsidP="00221965">
      <w:pPr>
        <w:rPr>
          <w:rFonts w:ascii="Arial" w:hAnsi="Arial" w:cs="Arial"/>
          <w:color w:val="333333"/>
          <w:szCs w:val="24"/>
        </w:rPr>
      </w:pPr>
      <w:r w:rsidRPr="000A3CCF">
        <w:rPr>
          <w:rFonts w:ascii="Arial" w:hAnsi="Arial" w:cs="Arial"/>
          <w:noProof/>
          <w:color w:val="333333"/>
          <w:szCs w:val="24"/>
        </w:rPr>
        <w:drawing>
          <wp:inline distT="0" distB="0" distL="0" distR="0" wp14:anchorId="469E07FF" wp14:editId="37A59A34">
            <wp:extent cx="6169293" cy="1941342"/>
            <wp:effectExtent l="0" t="0" r="3175" b="1905"/>
            <wp:docPr id="63886229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2297" name="Picture 1" descr="A screenshot of a web page&#10;&#10;Description automatically generated"/>
                    <pic:cNvPicPr/>
                  </pic:nvPicPr>
                  <pic:blipFill rotWithShape="1">
                    <a:blip r:embed="rId14"/>
                    <a:srcRect b="39866"/>
                    <a:stretch/>
                  </pic:blipFill>
                  <pic:spPr bwMode="auto">
                    <a:xfrm>
                      <a:off x="0" y="0"/>
                      <a:ext cx="6217711" cy="1956578"/>
                    </a:xfrm>
                    <a:prstGeom prst="rect">
                      <a:avLst/>
                    </a:prstGeom>
                    <a:ln>
                      <a:noFill/>
                    </a:ln>
                    <a:extLst>
                      <a:ext uri="{53640926-AAD7-44D8-BBD7-CCE9431645EC}">
                        <a14:shadowObscured xmlns:a14="http://schemas.microsoft.com/office/drawing/2010/main"/>
                      </a:ext>
                    </a:extLst>
                  </pic:spPr>
                </pic:pic>
              </a:graphicData>
            </a:graphic>
          </wp:inline>
        </w:drawing>
      </w:r>
    </w:p>
    <w:p w14:paraId="0D598909" w14:textId="77777777" w:rsidR="004E6E19" w:rsidRDefault="004E6E19" w:rsidP="00221965">
      <w:pPr>
        <w:rPr>
          <w:rFonts w:ascii="Arial" w:hAnsi="Arial" w:cs="Arial"/>
          <w:i/>
          <w:iCs/>
          <w:color w:val="333333"/>
          <w:sz w:val="22"/>
        </w:rPr>
      </w:pPr>
    </w:p>
    <w:p w14:paraId="6C951D72" w14:textId="1C308B37" w:rsidR="00221965" w:rsidRDefault="00221965" w:rsidP="00221965">
      <w:pPr>
        <w:rPr>
          <w:rFonts w:ascii="Arial" w:hAnsi="Arial" w:cs="Arial"/>
          <w:i/>
          <w:iCs/>
          <w:color w:val="333333"/>
          <w:sz w:val="22"/>
        </w:rPr>
      </w:pPr>
      <w:r w:rsidRPr="005A648B">
        <w:rPr>
          <w:rFonts w:ascii="Arial" w:hAnsi="Arial" w:cs="Arial"/>
          <w:i/>
          <w:iCs/>
          <w:color w:val="333333"/>
          <w:sz w:val="22"/>
        </w:rPr>
        <w:t>Figure 2 UNC Methodology Daily Margins Notice Report</w:t>
      </w:r>
    </w:p>
    <w:p w14:paraId="34307843" w14:textId="77777777" w:rsidR="004E6E19" w:rsidRPr="005A648B" w:rsidRDefault="004E6E19" w:rsidP="00221965">
      <w:pPr>
        <w:rPr>
          <w:rFonts w:ascii="Arial" w:hAnsi="Arial" w:cs="Arial"/>
          <w:i/>
          <w:iCs/>
          <w:color w:val="333333"/>
          <w:sz w:val="22"/>
        </w:rPr>
      </w:pPr>
    </w:p>
    <w:p w14:paraId="507BF5A2" w14:textId="77777777" w:rsidR="004E6E19" w:rsidRDefault="00221965" w:rsidP="00221965">
      <w:pPr>
        <w:rPr>
          <w:rFonts w:ascii="Arial" w:hAnsi="Arial" w:cs="Arial"/>
          <w:color w:val="333333"/>
          <w:szCs w:val="24"/>
        </w:rPr>
      </w:pPr>
      <w:r w:rsidRPr="00722DC6">
        <w:rPr>
          <w:rFonts w:ascii="Arial" w:hAnsi="Arial" w:cs="Arial"/>
          <w:noProof/>
          <w:color w:val="333333"/>
          <w:szCs w:val="24"/>
        </w:rPr>
        <w:drawing>
          <wp:inline distT="0" distB="0" distL="0" distR="0" wp14:anchorId="67198B30" wp14:editId="59FDA985">
            <wp:extent cx="6188710" cy="4490720"/>
            <wp:effectExtent l="0" t="0" r="2540" b="5080"/>
            <wp:docPr id="1744624244"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4244" name="Picture 1" descr="A screenshot of a data report&#10;&#10;Description automatically generated"/>
                    <pic:cNvPicPr/>
                  </pic:nvPicPr>
                  <pic:blipFill>
                    <a:blip r:embed="rId15"/>
                    <a:stretch>
                      <a:fillRect/>
                    </a:stretch>
                  </pic:blipFill>
                  <pic:spPr>
                    <a:xfrm>
                      <a:off x="0" y="0"/>
                      <a:ext cx="6188710" cy="4490720"/>
                    </a:xfrm>
                    <a:prstGeom prst="rect">
                      <a:avLst/>
                    </a:prstGeom>
                  </pic:spPr>
                </pic:pic>
              </a:graphicData>
            </a:graphic>
          </wp:inline>
        </w:drawing>
      </w:r>
    </w:p>
    <w:p w14:paraId="46A90DD4" w14:textId="41896F34" w:rsidR="00221965" w:rsidRPr="004E6E19" w:rsidRDefault="00221965" w:rsidP="00221965">
      <w:pPr>
        <w:rPr>
          <w:rFonts w:ascii="Arial" w:hAnsi="Arial" w:cs="Arial"/>
          <w:color w:val="333333"/>
          <w:szCs w:val="24"/>
        </w:rPr>
      </w:pPr>
      <w:r w:rsidRPr="005A648B">
        <w:rPr>
          <w:rFonts w:ascii="Arial" w:hAnsi="Arial" w:cs="Arial"/>
          <w:i/>
          <w:iCs/>
          <w:color w:val="333333"/>
          <w:sz w:val="22"/>
        </w:rPr>
        <w:lastRenderedPageBreak/>
        <w:t>Figure 3 Process for issuing a Margins Notice:</w:t>
      </w:r>
    </w:p>
    <w:p w14:paraId="5E8459A7" w14:textId="77777777" w:rsidR="00221965" w:rsidRDefault="00221965" w:rsidP="00221965">
      <w:pPr>
        <w:rPr>
          <w:rFonts w:ascii="Arial" w:hAnsi="Arial" w:cs="Arial"/>
          <w:color w:val="333333"/>
          <w:szCs w:val="24"/>
        </w:rPr>
      </w:pPr>
      <w:r>
        <w:rPr>
          <w:noProof/>
        </w:rPr>
        <w:drawing>
          <wp:inline distT="0" distB="0" distL="0" distR="0" wp14:anchorId="735D4188" wp14:editId="0ED7FDAB">
            <wp:extent cx="5080000" cy="3247322"/>
            <wp:effectExtent l="0" t="0" r="6350" b="0"/>
            <wp:docPr id="9" name="Picture 9" descr="A flowchar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chart of a company&#10;&#10;Description automatically generated"/>
                    <pic:cNvPicPr/>
                  </pic:nvPicPr>
                  <pic:blipFill>
                    <a:blip r:embed="rId16"/>
                    <a:stretch>
                      <a:fillRect/>
                    </a:stretch>
                  </pic:blipFill>
                  <pic:spPr>
                    <a:xfrm>
                      <a:off x="0" y="0"/>
                      <a:ext cx="5089536" cy="3253418"/>
                    </a:xfrm>
                    <a:prstGeom prst="rect">
                      <a:avLst/>
                    </a:prstGeom>
                  </pic:spPr>
                </pic:pic>
              </a:graphicData>
            </a:graphic>
          </wp:inline>
        </w:drawing>
      </w:r>
    </w:p>
    <w:p w14:paraId="16703B21" w14:textId="77777777" w:rsidR="00221965" w:rsidRDefault="00221965" w:rsidP="00221965">
      <w:pPr>
        <w:rPr>
          <w:rFonts w:ascii="Arial" w:hAnsi="Arial" w:cs="Arial"/>
          <w:color w:val="333333"/>
          <w:szCs w:val="24"/>
        </w:rPr>
      </w:pPr>
    </w:p>
    <w:p w14:paraId="6A992432" w14:textId="77777777" w:rsidR="00221965" w:rsidRPr="00AE452B" w:rsidRDefault="00221965" w:rsidP="00221965">
      <w:pPr>
        <w:rPr>
          <w:rFonts w:ascii="Arial" w:hAnsi="Arial" w:cs="Arial"/>
          <w:color w:val="333333"/>
          <w:szCs w:val="24"/>
        </w:rPr>
      </w:pPr>
    </w:p>
    <w:p w14:paraId="100E8FBF" w14:textId="77777777" w:rsidR="00221965" w:rsidRDefault="00221965" w:rsidP="00221965">
      <w:pPr>
        <w:rPr>
          <w:rFonts w:ascii="Arial" w:hAnsi="Arial" w:cs="Arial"/>
        </w:rPr>
      </w:pPr>
    </w:p>
    <w:p w14:paraId="19AD5659"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7 Day ‘Forecast’ Margins Notice Process</w:t>
      </w:r>
    </w:p>
    <w:p w14:paraId="29D66482" w14:textId="77777777" w:rsidR="00221965" w:rsidRDefault="00221965" w:rsidP="00221965">
      <w:pPr>
        <w:rPr>
          <w:rFonts w:ascii="Arial" w:hAnsi="Arial" w:cs="Arial"/>
          <w:color w:val="333333"/>
          <w:szCs w:val="24"/>
        </w:rPr>
      </w:pPr>
      <w:r>
        <w:rPr>
          <w:rFonts w:ascii="Arial" w:hAnsi="Arial" w:cs="Arial"/>
          <w:color w:val="333333"/>
          <w:szCs w:val="24"/>
        </w:rPr>
        <w:t>From winter 2022 an additional 7-Day Margins Notice Forecast methodology was introduced. This is not a UNC obligation but published to provide a more ‘realistic’ view which also provides a longer-term forecast. The 7-day report is published on a Friday, with a 5-day update published every other day during the week, with the same methodology.</w:t>
      </w:r>
    </w:p>
    <w:p w14:paraId="20DA9057" w14:textId="77777777" w:rsidR="00221965" w:rsidRDefault="00221965" w:rsidP="00221965">
      <w:pPr>
        <w:rPr>
          <w:rFonts w:ascii="Arial" w:hAnsi="Arial" w:cs="Arial"/>
          <w:color w:val="333333"/>
          <w:szCs w:val="24"/>
        </w:rPr>
      </w:pPr>
      <w:r>
        <w:rPr>
          <w:rFonts w:ascii="Arial" w:hAnsi="Arial" w:cs="Arial"/>
          <w:color w:val="333333"/>
          <w:szCs w:val="24"/>
        </w:rPr>
        <w:t>In addition to the report, the forecast Margins Notice using this methodology is published on Gas System Status for D-2 to D-7. These are published on Gas System Status instead of the UNC methodology figures as a more accurate view.</w:t>
      </w:r>
    </w:p>
    <w:p w14:paraId="7BE02D86" w14:textId="77777777" w:rsidR="00221965" w:rsidRDefault="00221965" w:rsidP="00221965">
      <w:pPr>
        <w:rPr>
          <w:rFonts w:ascii="Arial" w:hAnsi="Arial" w:cs="Arial"/>
          <w:color w:val="333333"/>
          <w:szCs w:val="24"/>
        </w:rPr>
      </w:pPr>
    </w:p>
    <w:p w14:paraId="623F584D" w14:textId="77777777" w:rsidR="00221965" w:rsidRDefault="00221965" w:rsidP="00221965">
      <w:pPr>
        <w:rPr>
          <w:rFonts w:ascii="Arial" w:hAnsi="Arial" w:cs="Arial"/>
          <w:color w:val="333333"/>
          <w:szCs w:val="24"/>
        </w:rPr>
      </w:pPr>
    </w:p>
    <w:p w14:paraId="332B6E18" w14:textId="77777777" w:rsidR="00221965" w:rsidRDefault="00221965" w:rsidP="00221965">
      <w:pPr>
        <w:rPr>
          <w:rFonts w:ascii="Arial" w:hAnsi="Arial" w:cs="Arial"/>
          <w:color w:val="333333"/>
          <w:szCs w:val="24"/>
        </w:rPr>
      </w:pPr>
    </w:p>
    <w:p w14:paraId="242B6CAE" w14:textId="77777777" w:rsidR="00221965" w:rsidRDefault="00221965" w:rsidP="00221965">
      <w:pPr>
        <w:rPr>
          <w:rFonts w:ascii="Arial" w:hAnsi="Arial" w:cs="Arial"/>
          <w:color w:val="333333"/>
          <w:szCs w:val="24"/>
        </w:rPr>
      </w:pPr>
    </w:p>
    <w:p w14:paraId="30F52082" w14:textId="77777777" w:rsidR="00221965" w:rsidRDefault="00221965" w:rsidP="00221965">
      <w:pPr>
        <w:rPr>
          <w:rFonts w:ascii="Arial" w:hAnsi="Arial" w:cs="Arial"/>
          <w:color w:val="333333"/>
          <w:szCs w:val="24"/>
        </w:rPr>
      </w:pPr>
    </w:p>
    <w:p w14:paraId="46ECF823" w14:textId="77777777" w:rsidR="00221965" w:rsidRDefault="00221965" w:rsidP="00221965">
      <w:pPr>
        <w:rPr>
          <w:rFonts w:ascii="Arial" w:hAnsi="Arial" w:cs="Arial"/>
          <w:color w:val="333333"/>
          <w:szCs w:val="24"/>
        </w:rPr>
      </w:pPr>
    </w:p>
    <w:p w14:paraId="0BF8398C" w14:textId="77777777" w:rsidR="00221965" w:rsidRDefault="00221965" w:rsidP="00221965">
      <w:pPr>
        <w:rPr>
          <w:rFonts w:ascii="Arial" w:hAnsi="Arial" w:cs="Arial"/>
          <w:color w:val="333333"/>
          <w:szCs w:val="24"/>
        </w:rPr>
      </w:pPr>
    </w:p>
    <w:p w14:paraId="4CC479BD" w14:textId="77777777" w:rsidR="00221965" w:rsidRDefault="00221965" w:rsidP="00221965">
      <w:pPr>
        <w:rPr>
          <w:rFonts w:ascii="Arial" w:hAnsi="Arial" w:cs="Arial"/>
          <w:color w:val="333333"/>
          <w:szCs w:val="24"/>
        </w:rPr>
      </w:pPr>
    </w:p>
    <w:p w14:paraId="3FE136B1" w14:textId="77777777" w:rsidR="004E6E19" w:rsidRDefault="004E6E19" w:rsidP="00221965">
      <w:pPr>
        <w:rPr>
          <w:rFonts w:ascii="Arial" w:hAnsi="Arial" w:cs="Arial"/>
          <w:color w:val="333333"/>
          <w:szCs w:val="24"/>
        </w:rPr>
      </w:pPr>
    </w:p>
    <w:p w14:paraId="343C8D3D" w14:textId="50574AE6" w:rsidR="00221965" w:rsidRDefault="00221965" w:rsidP="00221965">
      <w:pPr>
        <w:rPr>
          <w:rFonts w:ascii="Arial" w:hAnsi="Arial" w:cs="Arial"/>
          <w:i/>
          <w:iCs/>
          <w:color w:val="333333"/>
          <w:sz w:val="22"/>
        </w:rPr>
      </w:pPr>
      <w:r w:rsidRPr="00DC742B">
        <w:rPr>
          <w:rFonts w:ascii="Arial" w:hAnsi="Arial" w:cs="Arial"/>
          <w:i/>
          <w:iCs/>
          <w:color w:val="333333"/>
          <w:sz w:val="22"/>
        </w:rPr>
        <w:lastRenderedPageBreak/>
        <w:t>Figure 4 7 Day Margins Notice Forecast Report</w:t>
      </w:r>
    </w:p>
    <w:p w14:paraId="097F23AA" w14:textId="77777777" w:rsidR="004E6E19" w:rsidRPr="00DC742B" w:rsidRDefault="004E6E19" w:rsidP="00221965">
      <w:pPr>
        <w:rPr>
          <w:rFonts w:ascii="Arial" w:hAnsi="Arial" w:cs="Arial"/>
          <w:i/>
          <w:iCs/>
          <w:color w:val="333333"/>
          <w:sz w:val="22"/>
        </w:rPr>
      </w:pPr>
    </w:p>
    <w:p w14:paraId="120338A7" w14:textId="77777777" w:rsidR="00221965" w:rsidRDefault="00221965" w:rsidP="00221965">
      <w:pPr>
        <w:rPr>
          <w:rFonts w:ascii="Arial" w:hAnsi="Arial" w:cs="Arial"/>
          <w:color w:val="333333"/>
          <w:szCs w:val="24"/>
        </w:rPr>
      </w:pPr>
      <w:r w:rsidRPr="007B667C">
        <w:rPr>
          <w:rFonts w:ascii="Arial" w:hAnsi="Arial" w:cs="Arial"/>
          <w:noProof/>
          <w:color w:val="333333"/>
          <w:szCs w:val="24"/>
        </w:rPr>
        <w:drawing>
          <wp:inline distT="0" distB="0" distL="0" distR="0" wp14:anchorId="57FC0BB0" wp14:editId="7B595446">
            <wp:extent cx="4216617" cy="4635738"/>
            <wp:effectExtent l="0" t="0" r="0" b="0"/>
            <wp:docPr id="1809858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8745" name="Picture 1" descr="A screenshot of a computer&#10;&#10;Description automatically generated"/>
                    <pic:cNvPicPr/>
                  </pic:nvPicPr>
                  <pic:blipFill>
                    <a:blip r:embed="rId17"/>
                    <a:stretch>
                      <a:fillRect/>
                    </a:stretch>
                  </pic:blipFill>
                  <pic:spPr>
                    <a:xfrm>
                      <a:off x="0" y="0"/>
                      <a:ext cx="4216617" cy="4635738"/>
                    </a:xfrm>
                    <a:prstGeom prst="rect">
                      <a:avLst/>
                    </a:prstGeom>
                  </pic:spPr>
                </pic:pic>
              </a:graphicData>
            </a:graphic>
          </wp:inline>
        </w:drawing>
      </w:r>
    </w:p>
    <w:p w14:paraId="20A109D4" w14:textId="77777777" w:rsidR="00221965" w:rsidRDefault="00221965" w:rsidP="00221965">
      <w:pPr>
        <w:rPr>
          <w:rFonts w:ascii="Arial" w:hAnsi="Arial" w:cs="Arial"/>
          <w:color w:val="333333"/>
          <w:szCs w:val="24"/>
        </w:rPr>
      </w:pPr>
    </w:p>
    <w:p w14:paraId="5D02D578" w14:textId="77777777" w:rsidR="00221965" w:rsidRPr="00DC742B" w:rsidRDefault="00221965" w:rsidP="00221965">
      <w:pPr>
        <w:rPr>
          <w:rFonts w:ascii="Arial" w:hAnsi="Arial" w:cs="Arial"/>
          <w:i/>
          <w:iCs/>
          <w:color w:val="333333"/>
          <w:sz w:val="22"/>
        </w:rPr>
      </w:pPr>
      <w:r w:rsidRPr="00DC742B">
        <w:rPr>
          <w:rFonts w:ascii="Arial" w:hAnsi="Arial" w:cs="Arial"/>
          <w:i/>
          <w:iCs/>
          <w:color w:val="333333"/>
          <w:sz w:val="22"/>
        </w:rPr>
        <w:t xml:space="preserve">Figure 5 </w:t>
      </w:r>
      <w:r>
        <w:rPr>
          <w:rFonts w:ascii="Arial" w:hAnsi="Arial" w:cs="Arial"/>
          <w:i/>
          <w:iCs/>
          <w:color w:val="333333"/>
          <w:sz w:val="22"/>
        </w:rPr>
        <w:t xml:space="preserve">Gas System Status </w:t>
      </w:r>
    </w:p>
    <w:p w14:paraId="50C4330F" w14:textId="77777777" w:rsidR="00221965" w:rsidRDefault="00221965" w:rsidP="00221965">
      <w:pPr>
        <w:rPr>
          <w:rFonts w:ascii="Arial" w:hAnsi="Arial" w:cs="Arial"/>
          <w:color w:val="333333"/>
          <w:szCs w:val="24"/>
        </w:rPr>
      </w:pPr>
      <w:r w:rsidRPr="00055B4D">
        <w:rPr>
          <w:rFonts w:ascii="Arial" w:hAnsi="Arial" w:cs="Arial"/>
          <w:noProof/>
          <w:color w:val="333333"/>
          <w:szCs w:val="24"/>
        </w:rPr>
        <w:drawing>
          <wp:inline distT="0" distB="0" distL="0" distR="0" wp14:anchorId="2D02EC81" wp14:editId="6437DA11">
            <wp:extent cx="6188710" cy="1915160"/>
            <wp:effectExtent l="0" t="0" r="2540" b="8890"/>
            <wp:docPr id="254468269"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68269" name="Picture 1" descr="A screenshot of a calendar&#10;&#10;Description automatically generated"/>
                    <pic:cNvPicPr/>
                  </pic:nvPicPr>
                  <pic:blipFill>
                    <a:blip r:embed="rId18"/>
                    <a:stretch>
                      <a:fillRect/>
                    </a:stretch>
                  </pic:blipFill>
                  <pic:spPr>
                    <a:xfrm>
                      <a:off x="0" y="0"/>
                      <a:ext cx="6188710" cy="1915160"/>
                    </a:xfrm>
                    <a:prstGeom prst="rect">
                      <a:avLst/>
                    </a:prstGeom>
                  </pic:spPr>
                </pic:pic>
              </a:graphicData>
            </a:graphic>
          </wp:inline>
        </w:drawing>
      </w:r>
    </w:p>
    <w:p w14:paraId="0C451FED" w14:textId="251830E6" w:rsidR="004E6E19" w:rsidRDefault="002C72ED" w:rsidP="002C72ED">
      <w:pPr>
        <w:tabs>
          <w:tab w:val="left" w:pos="2985"/>
        </w:tabs>
        <w:spacing w:after="200" w:line="276" w:lineRule="auto"/>
        <w:rPr>
          <w:rFonts w:ascii="Arial" w:hAnsi="Arial" w:cs="Arial"/>
        </w:rPr>
      </w:pPr>
      <w:r>
        <w:rPr>
          <w:rFonts w:ascii="Arial" w:hAnsi="Arial" w:cs="Arial"/>
        </w:rPr>
        <w:tab/>
      </w:r>
    </w:p>
    <w:p w14:paraId="01839FF3" w14:textId="5AB27BD2"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lastRenderedPageBreak/>
        <w:t>Additional Information: Calculation Summaries</w:t>
      </w:r>
    </w:p>
    <w:p w14:paraId="319BEAA5" w14:textId="77777777" w:rsidR="00221965" w:rsidRPr="00C91992" w:rsidRDefault="00221965" w:rsidP="00221965">
      <w:pPr>
        <w:pStyle w:val="Heading1Numbered"/>
        <w:rPr>
          <w:sz w:val="24"/>
          <w:szCs w:val="24"/>
        </w:rPr>
      </w:pPr>
      <w:r w:rsidRPr="00C91992">
        <w:rPr>
          <w:sz w:val="24"/>
          <w:szCs w:val="24"/>
        </w:rPr>
        <w:t>UNC Margins Notice</w:t>
      </w:r>
    </w:p>
    <w:p w14:paraId="45858CB7" w14:textId="77777777" w:rsidR="00221965" w:rsidRPr="00030802" w:rsidRDefault="00221965" w:rsidP="00221965">
      <w:pPr>
        <w:pStyle w:val="BodyText"/>
        <w:rPr>
          <w:szCs w:val="24"/>
        </w:rPr>
      </w:pPr>
      <w:r w:rsidRPr="00030802">
        <w:rPr>
          <w:szCs w:val="24"/>
        </w:rPr>
        <w:t>The below methodology is outline in UNC TPD Section V 5.9</w:t>
      </w:r>
    </w:p>
    <w:p w14:paraId="2F74267B" w14:textId="77777777" w:rsidR="00221965" w:rsidRPr="004E6E19" w:rsidRDefault="00221965" w:rsidP="00221965">
      <w:pPr>
        <w:pStyle w:val="Heading2"/>
        <w:rPr>
          <w:sz w:val="24"/>
          <w:szCs w:val="24"/>
          <w:u w:val="single"/>
        </w:rPr>
      </w:pPr>
      <w:r w:rsidRPr="004E6E19">
        <w:rPr>
          <w:sz w:val="24"/>
          <w:szCs w:val="24"/>
          <w:u w:val="single"/>
        </w:rPr>
        <w:t>NSS</w:t>
      </w:r>
    </w:p>
    <w:p w14:paraId="15F4FE53" w14:textId="77777777" w:rsidR="00221965" w:rsidRPr="00030802" w:rsidRDefault="00221965" w:rsidP="00221965">
      <w:pPr>
        <w:pStyle w:val="BodyText"/>
        <w:rPr>
          <w:szCs w:val="24"/>
        </w:rPr>
      </w:pPr>
      <w:r w:rsidRPr="00030802">
        <w:rPr>
          <w:szCs w:val="24"/>
        </w:rPr>
        <w:t>The NSS (Non-storage/LNG supply) are determined by National G</w:t>
      </w:r>
      <w:r>
        <w:rPr>
          <w:szCs w:val="24"/>
        </w:rPr>
        <w:t>as</w:t>
      </w:r>
      <w:r w:rsidRPr="00030802">
        <w:rPr>
          <w:szCs w:val="24"/>
        </w:rPr>
        <w:t xml:space="preserve"> using best available information and may be revised anytime throughout the winter. There is no specific UNC methodology for calculating these numbers. The NSS categories are UKCS, Norway, EU Interconnector Import.</w:t>
      </w:r>
    </w:p>
    <w:p w14:paraId="72CD6E1F" w14:textId="77777777" w:rsidR="00221965" w:rsidRPr="004E6E19" w:rsidRDefault="00221965" w:rsidP="00221965">
      <w:pPr>
        <w:pStyle w:val="Heading2"/>
        <w:rPr>
          <w:sz w:val="24"/>
          <w:szCs w:val="24"/>
          <w:u w:val="single"/>
        </w:rPr>
      </w:pPr>
      <w:r w:rsidRPr="004E6E19">
        <w:rPr>
          <w:sz w:val="24"/>
          <w:szCs w:val="24"/>
          <w:u w:val="single"/>
        </w:rPr>
        <w:t>LNG</w:t>
      </w:r>
    </w:p>
    <w:p w14:paraId="4E068F66" w14:textId="77777777" w:rsidR="00221965" w:rsidRPr="00030802" w:rsidRDefault="00221965" w:rsidP="00221965">
      <w:pPr>
        <w:pStyle w:val="BodyText"/>
        <w:rPr>
          <w:szCs w:val="24"/>
        </w:rPr>
      </w:pPr>
      <w:r w:rsidRPr="00030802">
        <w:rPr>
          <w:szCs w:val="24"/>
        </w:rPr>
        <w:t>Determine the below constants prior to the winter:</w:t>
      </w:r>
    </w:p>
    <w:p w14:paraId="6CB82ADF" w14:textId="77777777" w:rsidR="00221965" w:rsidRPr="00030802" w:rsidRDefault="00221965" w:rsidP="00221965">
      <w:pPr>
        <w:pStyle w:val="BodyText"/>
        <w:numPr>
          <w:ilvl w:val="0"/>
          <w:numId w:val="23"/>
        </w:numPr>
        <w:spacing w:line="240" w:lineRule="auto"/>
        <w:rPr>
          <w:szCs w:val="24"/>
        </w:rPr>
      </w:pPr>
      <w:r w:rsidRPr="00030802">
        <w:rPr>
          <w:szCs w:val="24"/>
        </w:rPr>
        <w:t>Cold weather capability = 95</w:t>
      </w:r>
      <w:r w:rsidRPr="00030802">
        <w:rPr>
          <w:szCs w:val="24"/>
          <w:vertAlign w:val="superscript"/>
        </w:rPr>
        <w:t>th</w:t>
      </w:r>
      <w:r w:rsidRPr="00030802">
        <w:rPr>
          <w:szCs w:val="24"/>
        </w:rPr>
        <w:t xml:space="preserve"> percentile of each LNG sites flows over the last 3 gas years</w:t>
      </w:r>
    </w:p>
    <w:p w14:paraId="70519FA6" w14:textId="77777777" w:rsidR="00221965" w:rsidRPr="00030802" w:rsidRDefault="00221965" w:rsidP="00221965">
      <w:pPr>
        <w:pStyle w:val="BodyText"/>
        <w:numPr>
          <w:ilvl w:val="0"/>
          <w:numId w:val="23"/>
        </w:numPr>
        <w:spacing w:line="240" w:lineRule="auto"/>
        <w:rPr>
          <w:szCs w:val="24"/>
        </w:rPr>
      </w:pPr>
      <w:r w:rsidRPr="00030802">
        <w:rPr>
          <w:szCs w:val="24"/>
        </w:rPr>
        <w:t>Minimum stock level* = lowest stock level seen in each LNG site over the last 3 gas years + 18 days’ worth of boil off (minimum deliverable volume)</w:t>
      </w:r>
    </w:p>
    <w:p w14:paraId="0666A037" w14:textId="77777777" w:rsidR="00221965" w:rsidRPr="00030802" w:rsidRDefault="00221965" w:rsidP="00221965">
      <w:pPr>
        <w:pStyle w:val="BodyText"/>
        <w:ind w:left="720"/>
        <w:rPr>
          <w:szCs w:val="24"/>
        </w:rPr>
      </w:pPr>
      <w:r w:rsidRPr="00030802">
        <w:rPr>
          <w:szCs w:val="24"/>
        </w:rPr>
        <w:t>*</w:t>
      </w:r>
      <w:proofErr w:type="gramStart"/>
      <w:r w:rsidRPr="00030802">
        <w:rPr>
          <w:szCs w:val="24"/>
        </w:rPr>
        <w:t>if</w:t>
      </w:r>
      <w:proofErr w:type="gramEnd"/>
      <w:r w:rsidRPr="00030802">
        <w:rPr>
          <w:szCs w:val="24"/>
        </w:rPr>
        <w:t xml:space="preserve"> this number is higher than previous years </w:t>
      </w:r>
      <w:proofErr w:type="spellStart"/>
      <w:r w:rsidRPr="00030802">
        <w:rPr>
          <w:szCs w:val="24"/>
        </w:rPr>
        <w:t>then</w:t>
      </w:r>
      <w:proofErr w:type="spellEnd"/>
      <w:r w:rsidRPr="00030802">
        <w:rPr>
          <w:szCs w:val="24"/>
        </w:rPr>
        <w:t xml:space="preserve"> the previous </w:t>
      </w:r>
      <w:proofErr w:type="spellStart"/>
      <w:r w:rsidRPr="00030802">
        <w:rPr>
          <w:szCs w:val="24"/>
        </w:rPr>
        <w:t>years</w:t>
      </w:r>
      <w:proofErr w:type="spellEnd"/>
      <w:r w:rsidRPr="00030802">
        <w:rPr>
          <w:szCs w:val="24"/>
        </w:rPr>
        <w:t xml:space="preserve"> number should be used</w:t>
      </w:r>
    </w:p>
    <w:p w14:paraId="2A1D09AA" w14:textId="77777777" w:rsidR="00221965" w:rsidRPr="00030802" w:rsidRDefault="00221965" w:rsidP="00221965">
      <w:pPr>
        <w:pStyle w:val="BodyText"/>
        <w:rPr>
          <w:szCs w:val="24"/>
        </w:rPr>
      </w:pPr>
      <w:r w:rsidRPr="00030802">
        <w:rPr>
          <w:szCs w:val="24"/>
        </w:rPr>
        <w:t>Each day the following calculation is used to determine LNG component of margins notice:</w:t>
      </w:r>
    </w:p>
    <w:p w14:paraId="370894A0" w14:textId="77777777" w:rsidR="00221965" w:rsidRPr="00030802" w:rsidRDefault="00221965" w:rsidP="00221965">
      <w:pPr>
        <w:pStyle w:val="BodyText"/>
        <w:numPr>
          <w:ilvl w:val="0"/>
          <w:numId w:val="24"/>
        </w:numPr>
        <w:spacing w:line="240" w:lineRule="auto"/>
        <w:rPr>
          <w:szCs w:val="24"/>
        </w:rPr>
      </w:pPr>
      <w:r w:rsidRPr="00030802">
        <w:rPr>
          <w:szCs w:val="24"/>
        </w:rPr>
        <w:t>Useable stock = Current stock – Minimum stock level</w:t>
      </w:r>
    </w:p>
    <w:p w14:paraId="5F3A9E1B" w14:textId="77777777" w:rsidR="00221965" w:rsidRPr="00030802" w:rsidRDefault="00221965" w:rsidP="00221965">
      <w:pPr>
        <w:pStyle w:val="BodyText"/>
        <w:numPr>
          <w:ilvl w:val="0"/>
          <w:numId w:val="24"/>
        </w:numPr>
        <w:spacing w:line="240" w:lineRule="auto"/>
        <w:rPr>
          <w:szCs w:val="24"/>
        </w:rPr>
      </w:pPr>
      <w:r w:rsidRPr="00030802">
        <w:rPr>
          <w:szCs w:val="24"/>
        </w:rPr>
        <w:t>LNG component = Min (cold weather capability, useable stock / 2)</w:t>
      </w:r>
    </w:p>
    <w:p w14:paraId="66D065CC" w14:textId="77777777" w:rsidR="00221965" w:rsidRPr="00030802" w:rsidRDefault="00221965" w:rsidP="00221965">
      <w:pPr>
        <w:pStyle w:val="BodyText"/>
        <w:numPr>
          <w:ilvl w:val="0"/>
          <w:numId w:val="24"/>
        </w:numPr>
        <w:spacing w:line="240" w:lineRule="auto"/>
        <w:rPr>
          <w:szCs w:val="24"/>
        </w:rPr>
      </w:pPr>
      <w:r w:rsidRPr="00030802">
        <w:rPr>
          <w:szCs w:val="24"/>
        </w:rPr>
        <w:t>Subtract this from the current stock and apply above logic for D-1 to D-5</w:t>
      </w:r>
    </w:p>
    <w:p w14:paraId="63DE23D7" w14:textId="77777777" w:rsidR="00221965" w:rsidRPr="004E6E19" w:rsidRDefault="00221965" w:rsidP="00221965">
      <w:pPr>
        <w:pStyle w:val="Heading2"/>
        <w:rPr>
          <w:sz w:val="24"/>
          <w:szCs w:val="24"/>
          <w:u w:val="single"/>
        </w:rPr>
      </w:pPr>
      <w:r w:rsidRPr="004E6E19">
        <w:rPr>
          <w:sz w:val="24"/>
          <w:szCs w:val="24"/>
          <w:u w:val="single"/>
        </w:rPr>
        <w:t>Storage</w:t>
      </w:r>
    </w:p>
    <w:p w14:paraId="5C11DC0D" w14:textId="77777777" w:rsidR="00221965" w:rsidRPr="00030802" w:rsidRDefault="00221965" w:rsidP="00221965">
      <w:pPr>
        <w:pStyle w:val="BodyText"/>
        <w:rPr>
          <w:szCs w:val="24"/>
        </w:rPr>
      </w:pPr>
      <w:r w:rsidRPr="00030802">
        <w:rPr>
          <w:szCs w:val="24"/>
        </w:rPr>
        <w:t>Each day the following calculation is used to determine Storage component of margins notice:</w:t>
      </w:r>
    </w:p>
    <w:p w14:paraId="3433BC9C" w14:textId="77777777" w:rsidR="00221965" w:rsidRPr="00030802" w:rsidRDefault="00221965" w:rsidP="00221965">
      <w:pPr>
        <w:pStyle w:val="BodyText"/>
        <w:numPr>
          <w:ilvl w:val="0"/>
          <w:numId w:val="22"/>
        </w:numPr>
        <w:spacing w:line="240" w:lineRule="auto"/>
        <w:rPr>
          <w:szCs w:val="24"/>
        </w:rPr>
      </w:pPr>
      <w:r w:rsidRPr="00030802">
        <w:rPr>
          <w:szCs w:val="24"/>
        </w:rPr>
        <w:t>Take current stock level of storage site and identify max deliverability based on decay curve as provided by the site prior to the winter</w:t>
      </w:r>
    </w:p>
    <w:p w14:paraId="3FD77700" w14:textId="77777777" w:rsidR="00221965" w:rsidRPr="00030802" w:rsidRDefault="00221965" w:rsidP="00221965">
      <w:pPr>
        <w:pStyle w:val="BodyText"/>
        <w:numPr>
          <w:ilvl w:val="0"/>
          <w:numId w:val="22"/>
        </w:numPr>
        <w:spacing w:line="240" w:lineRule="auto"/>
        <w:rPr>
          <w:szCs w:val="24"/>
        </w:rPr>
      </w:pPr>
      <w:r w:rsidRPr="00030802">
        <w:rPr>
          <w:szCs w:val="24"/>
        </w:rPr>
        <w:t>Subtract this number from the stock and reapply the above logic for D-1 to D-5</w:t>
      </w:r>
    </w:p>
    <w:p w14:paraId="47FD1C08" w14:textId="77777777" w:rsidR="00221965" w:rsidRPr="00C91992" w:rsidRDefault="00221965" w:rsidP="00221965">
      <w:pPr>
        <w:pStyle w:val="Heading1Numbered"/>
        <w:rPr>
          <w:sz w:val="24"/>
          <w:szCs w:val="24"/>
        </w:rPr>
      </w:pPr>
      <w:r w:rsidRPr="00C91992">
        <w:rPr>
          <w:sz w:val="24"/>
          <w:szCs w:val="24"/>
        </w:rPr>
        <w:t>Margins Notice Forecast</w:t>
      </w:r>
    </w:p>
    <w:p w14:paraId="5429415C" w14:textId="77777777" w:rsidR="00221965" w:rsidRPr="00030802" w:rsidRDefault="00221965" w:rsidP="00221965">
      <w:pPr>
        <w:pStyle w:val="BodyText"/>
        <w:rPr>
          <w:szCs w:val="24"/>
        </w:rPr>
      </w:pPr>
      <w:r w:rsidRPr="00030802">
        <w:rPr>
          <w:szCs w:val="24"/>
        </w:rPr>
        <w:t>The below methodology is not a UNC obligation but is published as additional information for the market and is designed to provide a more ‘realistic’ view.</w:t>
      </w:r>
    </w:p>
    <w:p w14:paraId="4DBD5A30" w14:textId="77777777" w:rsidR="00221965" w:rsidRPr="004E6E19" w:rsidRDefault="00221965" w:rsidP="00221965">
      <w:pPr>
        <w:pStyle w:val="Heading2"/>
        <w:rPr>
          <w:sz w:val="24"/>
          <w:szCs w:val="24"/>
          <w:u w:val="single"/>
        </w:rPr>
      </w:pPr>
      <w:r w:rsidRPr="004E6E19">
        <w:rPr>
          <w:sz w:val="24"/>
          <w:szCs w:val="24"/>
          <w:u w:val="single"/>
        </w:rPr>
        <w:t>NSS</w:t>
      </w:r>
    </w:p>
    <w:p w14:paraId="7439AF43" w14:textId="77777777" w:rsidR="00221965" w:rsidRPr="00030802" w:rsidRDefault="00221965" w:rsidP="00221965">
      <w:pPr>
        <w:pStyle w:val="BodyText"/>
        <w:rPr>
          <w:szCs w:val="24"/>
        </w:rPr>
      </w:pPr>
      <w:r w:rsidRPr="00030802">
        <w:rPr>
          <w:szCs w:val="24"/>
        </w:rPr>
        <w:t>As per UNC Methodology.</w:t>
      </w:r>
    </w:p>
    <w:p w14:paraId="640596A6" w14:textId="77777777" w:rsidR="00221965" w:rsidRPr="004E6E19" w:rsidRDefault="00221965" w:rsidP="00221965">
      <w:pPr>
        <w:pStyle w:val="Heading2"/>
        <w:rPr>
          <w:sz w:val="24"/>
          <w:szCs w:val="24"/>
          <w:u w:val="single"/>
        </w:rPr>
      </w:pPr>
      <w:r w:rsidRPr="004E6E19">
        <w:rPr>
          <w:sz w:val="24"/>
          <w:szCs w:val="24"/>
          <w:u w:val="single"/>
        </w:rPr>
        <w:lastRenderedPageBreak/>
        <w:t>LNG</w:t>
      </w:r>
    </w:p>
    <w:p w14:paraId="45713B24" w14:textId="77777777" w:rsidR="00221965" w:rsidRPr="00030802" w:rsidRDefault="00221965" w:rsidP="00221965">
      <w:pPr>
        <w:pStyle w:val="BodyText"/>
        <w:rPr>
          <w:szCs w:val="24"/>
        </w:rPr>
      </w:pPr>
      <w:r w:rsidRPr="00030802">
        <w:rPr>
          <w:szCs w:val="24"/>
        </w:rPr>
        <w:t>Each day the following calculation is used to determine LNG component of margins notice:</w:t>
      </w:r>
    </w:p>
    <w:p w14:paraId="23F6AFF1" w14:textId="77777777" w:rsidR="00221965" w:rsidRPr="00030802" w:rsidRDefault="00221965" w:rsidP="00221965">
      <w:pPr>
        <w:pStyle w:val="BodyText"/>
        <w:numPr>
          <w:ilvl w:val="0"/>
          <w:numId w:val="24"/>
        </w:numPr>
        <w:spacing w:line="240" w:lineRule="auto"/>
        <w:rPr>
          <w:szCs w:val="24"/>
        </w:rPr>
      </w:pPr>
      <w:r w:rsidRPr="00030802">
        <w:rPr>
          <w:szCs w:val="24"/>
        </w:rPr>
        <w:t>Minimum stock level = lowest stock level seen in each LNG site over the last 3 gas years + X days’ worth of boil off (minimum deliverable volume)</w:t>
      </w:r>
    </w:p>
    <w:p w14:paraId="49C87E8D" w14:textId="77777777" w:rsidR="00221965" w:rsidRPr="00030802" w:rsidRDefault="00221965" w:rsidP="00221965">
      <w:pPr>
        <w:pStyle w:val="BodyText"/>
        <w:numPr>
          <w:ilvl w:val="0"/>
          <w:numId w:val="24"/>
        </w:numPr>
        <w:spacing w:line="240" w:lineRule="auto"/>
        <w:rPr>
          <w:szCs w:val="24"/>
        </w:rPr>
      </w:pPr>
      <w:r w:rsidRPr="00030802">
        <w:rPr>
          <w:szCs w:val="24"/>
        </w:rPr>
        <w:t>X days is determined by the number of days until the next boat scheduled to dock at each site</w:t>
      </w:r>
    </w:p>
    <w:p w14:paraId="2BABC46F" w14:textId="77777777" w:rsidR="00221965" w:rsidRPr="00030802" w:rsidRDefault="00221965" w:rsidP="00221965">
      <w:pPr>
        <w:pStyle w:val="BodyText"/>
        <w:numPr>
          <w:ilvl w:val="0"/>
          <w:numId w:val="24"/>
        </w:numPr>
        <w:spacing w:line="240" w:lineRule="auto"/>
        <w:rPr>
          <w:szCs w:val="24"/>
        </w:rPr>
      </w:pPr>
      <w:r w:rsidRPr="00030802">
        <w:rPr>
          <w:szCs w:val="24"/>
        </w:rPr>
        <w:t>Useable stock = Current stock – Minimum stock level</w:t>
      </w:r>
    </w:p>
    <w:p w14:paraId="779BAEA9" w14:textId="77777777" w:rsidR="00221965" w:rsidRPr="00030802" w:rsidRDefault="00221965" w:rsidP="00221965">
      <w:pPr>
        <w:pStyle w:val="BodyText"/>
        <w:numPr>
          <w:ilvl w:val="0"/>
          <w:numId w:val="24"/>
        </w:numPr>
        <w:spacing w:line="240" w:lineRule="auto"/>
        <w:rPr>
          <w:szCs w:val="24"/>
        </w:rPr>
      </w:pPr>
      <w:r w:rsidRPr="00030802">
        <w:rPr>
          <w:szCs w:val="24"/>
        </w:rPr>
        <w:t>LNG component = Min (7-day average of LNG flows, useable stock / 2)</w:t>
      </w:r>
    </w:p>
    <w:p w14:paraId="2A888F85" w14:textId="77777777" w:rsidR="00221965" w:rsidRPr="00030802" w:rsidRDefault="00221965" w:rsidP="00221965">
      <w:pPr>
        <w:pStyle w:val="BodyText"/>
        <w:numPr>
          <w:ilvl w:val="0"/>
          <w:numId w:val="24"/>
        </w:numPr>
        <w:spacing w:line="240" w:lineRule="auto"/>
        <w:rPr>
          <w:szCs w:val="24"/>
        </w:rPr>
      </w:pPr>
      <w:r w:rsidRPr="00030802">
        <w:rPr>
          <w:szCs w:val="24"/>
        </w:rPr>
        <w:t>Subtract this from the useable stock and apply above logic for D-1 to D-7</w:t>
      </w:r>
    </w:p>
    <w:p w14:paraId="53F69A30" w14:textId="77777777" w:rsidR="00221965" w:rsidRPr="004E6E19" w:rsidRDefault="00221965" w:rsidP="00221965">
      <w:pPr>
        <w:pStyle w:val="Heading2"/>
        <w:rPr>
          <w:sz w:val="24"/>
          <w:szCs w:val="24"/>
          <w:u w:val="single"/>
        </w:rPr>
      </w:pPr>
      <w:r w:rsidRPr="004E6E19">
        <w:rPr>
          <w:sz w:val="24"/>
          <w:szCs w:val="24"/>
          <w:u w:val="single"/>
        </w:rPr>
        <w:t>Storage</w:t>
      </w:r>
    </w:p>
    <w:p w14:paraId="3685F81B" w14:textId="77777777" w:rsidR="00221965" w:rsidRPr="00030802" w:rsidRDefault="00221965" w:rsidP="00221965">
      <w:pPr>
        <w:pStyle w:val="BodyText"/>
        <w:rPr>
          <w:szCs w:val="24"/>
        </w:rPr>
      </w:pPr>
      <w:r w:rsidRPr="00030802">
        <w:rPr>
          <w:szCs w:val="24"/>
        </w:rPr>
        <w:t>Each day the following calculation is used to determine Storage component of margins notice:</w:t>
      </w:r>
    </w:p>
    <w:p w14:paraId="4C8C0763" w14:textId="77777777" w:rsidR="00221965" w:rsidRPr="00030802" w:rsidRDefault="00221965" w:rsidP="00221965">
      <w:pPr>
        <w:pStyle w:val="BodyText"/>
        <w:numPr>
          <w:ilvl w:val="0"/>
          <w:numId w:val="22"/>
        </w:numPr>
        <w:spacing w:line="240" w:lineRule="auto"/>
        <w:rPr>
          <w:szCs w:val="24"/>
        </w:rPr>
      </w:pPr>
      <w:r w:rsidRPr="00030802">
        <w:rPr>
          <w:szCs w:val="24"/>
        </w:rPr>
        <w:t>Take current stock level of storage site and identify max deliverability based on decay curve as provided by the site prior to the winter</w:t>
      </w:r>
    </w:p>
    <w:p w14:paraId="33044A2A" w14:textId="77777777" w:rsidR="00221965" w:rsidRPr="00030802" w:rsidRDefault="00221965" w:rsidP="00221965">
      <w:pPr>
        <w:pStyle w:val="BodyText"/>
        <w:numPr>
          <w:ilvl w:val="0"/>
          <w:numId w:val="22"/>
        </w:numPr>
        <w:spacing w:line="240" w:lineRule="auto"/>
        <w:rPr>
          <w:szCs w:val="24"/>
        </w:rPr>
      </w:pPr>
      <w:r w:rsidRPr="00030802">
        <w:rPr>
          <w:szCs w:val="24"/>
        </w:rPr>
        <w:t xml:space="preserve">Subtract the </w:t>
      </w:r>
      <w:proofErr w:type="gramStart"/>
      <w:r w:rsidRPr="00030802">
        <w:rPr>
          <w:szCs w:val="24"/>
        </w:rPr>
        <w:t>7 day</w:t>
      </w:r>
      <w:proofErr w:type="gramEnd"/>
      <w:r w:rsidRPr="00030802">
        <w:rPr>
          <w:szCs w:val="24"/>
        </w:rPr>
        <w:t xml:space="preserve"> average withdrawal for each site from the stock and reapply the above logic for D-1 to D-7</w:t>
      </w:r>
    </w:p>
    <w:p w14:paraId="01198602" w14:textId="2A48A324" w:rsidR="00087D8B" w:rsidRPr="001C05AC" w:rsidRDefault="00087D8B" w:rsidP="00087D8B">
      <w:pPr>
        <w:rPr>
          <w:b/>
          <w:bCs/>
        </w:rPr>
      </w:pPr>
    </w:p>
    <w:sectPr w:rsidR="00087D8B" w:rsidRPr="001C05AC" w:rsidSect="00503D9C">
      <w:footerReference w:type="default" r:id="rId19"/>
      <w:pgSz w:w="11906" w:h="16838"/>
      <w:pgMar w:top="794" w:right="851" w:bottom="1418" w:left="851"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B6136" w14:textId="77777777" w:rsidR="00215F72" w:rsidRDefault="00215F72" w:rsidP="00DF0CF2">
      <w:pPr>
        <w:spacing w:line="240" w:lineRule="auto"/>
      </w:pPr>
      <w:r>
        <w:separator/>
      </w:r>
    </w:p>
  </w:endnote>
  <w:endnote w:type="continuationSeparator" w:id="0">
    <w:p w14:paraId="167E5EDE" w14:textId="77777777" w:rsidR="00215F72" w:rsidRDefault="00215F72" w:rsidP="00DF0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8A684" w14:textId="77777777" w:rsidR="001C05AC" w:rsidRPr="001C05AC" w:rsidRDefault="001C05AC" w:rsidP="001C05AC">
    <w:pPr>
      <w:pStyle w:val="Footer"/>
    </w:pPr>
    <w:r w:rsidRPr="001C05AC">
      <w:rPr>
        <w:noProof/>
      </w:rPr>
      <w:drawing>
        <wp:inline distT="0" distB="0" distL="0" distR="0" wp14:anchorId="15F0F80D" wp14:editId="5868C7F0">
          <wp:extent cx="2451100" cy="665457"/>
          <wp:effectExtent l="0" t="0" r="6350" b="1905"/>
          <wp:docPr id="12"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83093" cy="674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5DA29" w14:textId="77777777" w:rsidR="00215F72" w:rsidRDefault="00215F72" w:rsidP="00DF0CF2">
      <w:pPr>
        <w:spacing w:line="240" w:lineRule="auto"/>
      </w:pPr>
      <w:r>
        <w:separator/>
      </w:r>
    </w:p>
  </w:footnote>
  <w:footnote w:type="continuationSeparator" w:id="0">
    <w:p w14:paraId="40C9CF81" w14:textId="77777777" w:rsidR="00215F72" w:rsidRDefault="00215F72" w:rsidP="00DF0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50C3" w14:textId="77777777" w:rsidR="00DF0CF2" w:rsidRDefault="00EB4021" w:rsidP="00BB7810">
    <w:pPr>
      <w:pStyle w:val="Header"/>
      <w:spacing w:after="2520"/>
    </w:pPr>
    <w:r w:rsidRPr="001C05AC">
      <w:rPr>
        <w:noProof/>
      </w:rPr>
      <w:drawing>
        <wp:anchor distT="0" distB="0" distL="114300" distR="114300" simplePos="0" relativeHeight="251666432" behindDoc="0" locked="1" layoutInCell="1" allowOverlap="1" wp14:anchorId="5D293950" wp14:editId="118888FC">
          <wp:simplePos x="0" y="0"/>
          <wp:positionH relativeFrom="page">
            <wp:posOffset>540385</wp:posOffset>
          </wp:positionH>
          <wp:positionV relativeFrom="page">
            <wp:posOffset>525780</wp:posOffset>
          </wp:positionV>
          <wp:extent cx="2415600" cy="655200"/>
          <wp:effectExtent l="0" t="0" r="3810" b="0"/>
          <wp:wrapNone/>
          <wp:docPr id="15"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5600" cy="655200"/>
                  </a:xfrm>
                  <a:prstGeom prst="rect">
                    <a:avLst/>
                  </a:prstGeom>
                </pic:spPr>
              </pic:pic>
            </a:graphicData>
          </a:graphic>
          <wp14:sizeRelH relativeFrom="margin">
            <wp14:pctWidth>0</wp14:pctWidth>
          </wp14:sizeRelH>
          <wp14:sizeRelV relativeFrom="margin">
            <wp14:pctHeight>0</wp14:pctHeight>
          </wp14:sizeRelV>
        </wp:anchor>
      </w:drawing>
    </w:r>
    <w:r w:rsidR="00BB7810">
      <w:rPr>
        <w:noProof/>
      </w:rPr>
      <w:drawing>
        <wp:anchor distT="0" distB="0" distL="114300" distR="114300" simplePos="0" relativeHeight="251665408" behindDoc="0" locked="1" layoutInCell="1" allowOverlap="1" wp14:anchorId="3DFBD3A2" wp14:editId="00F2CE83">
          <wp:simplePos x="0" y="0"/>
          <wp:positionH relativeFrom="page">
            <wp:align>right</wp:align>
          </wp:positionH>
          <wp:positionV relativeFrom="page">
            <wp:align>bottom</wp:align>
          </wp:positionV>
          <wp:extent cx="3459600" cy="6858000"/>
          <wp:effectExtent l="0" t="0" r="762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r="19046" b="9994"/>
                  <a:stretch/>
                </pic:blipFill>
                <pic:spPr bwMode="auto">
                  <a:xfrm>
                    <a:off x="0" y="0"/>
                    <a:ext cx="34596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434E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5824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5E8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7A25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4D1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62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34C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26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367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563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03691"/>
    <w:multiLevelType w:val="hybridMultilevel"/>
    <w:tmpl w:val="383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7814DD"/>
    <w:multiLevelType w:val="hybridMultilevel"/>
    <w:tmpl w:val="3522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464FD"/>
    <w:multiLevelType w:val="hybridMultilevel"/>
    <w:tmpl w:val="206C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51E43"/>
    <w:multiLevelType w:val="hybridMultilevel"/>
    <w:tmpl w:val="7B2CC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8B3625"/>
    <w:multiLevelType w:val="hybridMultilevel"/>
    <w:tmpl w:val="B5D8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272088"/>
    <w:multiLevelType w:val="hybridMultilevel"/>
    <w:tmpl w:val="9BB8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A15B9"/>
    <w:multiLevelType w:val="hybridMultilevel"/>
    <w:tmpl w:val="2F52D66A"/>
    <w:lvl w:ilvl="0" w:tplc="4B124C4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C43159"/>
    <w:multiLevelType w:val="hybridMultilevel"/>
    <w:tmpl w:val="C068D42E"/>
    <w:lvl w:ilvl="0" w:tplc="AB880D08">
      <w:start w:val="1"/>
      <w:numFmt w:val="bullet"/>
      <w:pStyle w:val="BulletedTex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05B28"/>
    <w:multiLevelType w:val="hybridMultilevel"/>
    <w:tmpl w:val="8C041418"/>
    <w:lvl w:ilvl="0" w:tplc="A8B0F152">
      <w:start w:val="1"/>
      <w:numFmt w:val="lowerLetter"/>
      <w:pStyle w:val="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B54E4C"/>
    <w:multiLevelType w:val="hybridMultilevel"/>
    <w:tmpl w:val="EFCA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C092F"/>
    <w:multiLevelType w:val="hybridMultilevel"/>
    <w:tmpl w:val="0848F79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B454F"/>
    <w:multiLevelType w:val="hybridMultilevel"/>
    <w:tmpl w:val="5BFAF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71656"/>
    <w:multiLevelType w:val="hybridMultilevel"/>
    <w:tmpl w:val="A8EA8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16cid:durableId="728190485">
    <w:abstractNumId w:val="9"/>
  </w:num>
  <w:num w:numId="2" w16cid:durableId="1829902310">
    <w:abstractNumId w:val="7"/>
  </w:num>
  <w:num w:numId="3" w16cid:durableId="1661078712">
    <w:abstractNumId w:val="6"/>
  </w:num>
  <w:num w:numId="4" w16cid:durableId="2093697054">
    <w:abstractNumId w:val="5"/>
  </w:num>
  <w:num w:numId="5" w16cid:durableId="2049453695">
    <w:abstractNumId w:val="4"/>
  </w:num>
  <w:num w:numId="6" w16cid:durableId="374820540">
    <w:abstractNumId w:val="8"/>
  </w:num>
  <w:num w:numId="7" w16cid:durableId="127355976">
    <w:abstractNumId w:val="3"/>
  </w:num>
  <w:num w:numId="8" w16cid:durableId="1516651108">
    <w:abstractNumId w:val="2"/>
  </w:num>
  <w:num w:numId="9" w16cid:durableId="864631205">
    <w:abstractNumId w:val="1"/>
  </w:num>
  <w:num w:numId="10" w16cid:durableId="884213877">
    <w:abstractNumId w:val="0"/>
  </w:num>
  <w:num w:numId="11" w16cid:durableId="1149860420">
    <w:abstractNumId w:val="19"/>
  </w:num>
  <w:num w:numId="12" w16cid:durableId="1542086523">
    <w:abstractNumId w:val="16"/>
  </w:num>
  <w:num w:numId="13" w16cid:durableId="956184991">
    <w:abstractNumId w:val="18"/>
  </w:num>
  <w:num w:numId="14" w16cid:durableId="1638031694">
    <w:abstractNumId w:val="21"/>
  </w:num>
  <w:num w:numId="15" w16cid:durableId="1759864270">
    <w:abstractNumId w:val="13"/>
  </w:num>
  <w:num w:numId="16" w16cid:durableId="1796488758">
    <w:abstractNumId w:val="15"/>
  </w:num>
  <w:num w:numId="17" w16cid:durableId="188036293">
    <w:abstractNumId w:val="23"/>
  </w:num>
  <w:num w:numId="18" w16cid:durableId="1867016389">
    <w:abstractNumId w:val="22"/>
  </w:num>
  <w:num w:numId="19" w16cid:durableId="1034573819">
    <w:abstractNumId w:val="12"/>
  </w:num>
  <w:num w:numId="20" w16cid:durableId="930701222">
    <w:abstractNumId w:val="20"/>
  </w:num>
  <w:num w:numId="21" w16cid:durableId="96103958">
    <w:abstractNumId w:val="17"/>
  </w:num>
  <w:num w:numId="22" w16cid:durableId="1743943645">
    <w:abstractNumId w:val="10"/>
  </w:num>
  <w:num w:numId="23" w16cid:durableId="111751219">
    <w:abstractNumId w:val="11"/>
  </w:num>
  <w:num w:numId="24" w16cid:durableId="10580137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60"/>
    <w:rsid w:val="00010CA7"/>
    <w:rsid w:val="000230F9"/>
    <w:rsid w:val="00061215"/>
    <w:rsid w:val="000711A5"/>
    <w:rsid w:val="000744FB"/>
    <w:rsid w:val="00087D8B"/>
    <w:rsid w:val="00090713"/>
    <w:rsid w:val="000A6C60"/>
    <w:rsid w:val="000C057F"/>
    <w:rsid w:val="000D7D8F"/>
    <w:rsid w:val="001316E7"/>
    <w:rsid w:val="001B0D79"/>
    <w:rsid w:val="001C05AC"/>
    <w:rsid w:val="001C6554"/>
    <w:rsid w:val="002018AD"/>
    <w:rsid w:val="002135BF"/>
    <w:rsid w:val="00215F72"/>
    <w:rsid w:val="00216460"/>
    <w:rsid w:val="002208DC"/>
    <w:rsid w:val="00221965"/>
    <w:rsid w:val="0024413E"/>
    <w:rsid w:val="002465DC"/>
    <w:rsid w:val="002C72ED"/>
    <w:rsid w:val="003617C6"/>
    <w:rsid w:val="00362A7E"/>
    <w:rsid w:val="00367911"/>
    <w:rsid w:val="00370F34"/>
    <w:rsid w:val="003A7520"/>
    <w:rsid w:val="003F663A"/>
    <w:rsid w:val="0046497E"/>
    <w:rsid w:val="0047096B"/>
    <w:rsid w:val="00473518"/>
    <w:rsid w:val="00492897"/>
    <w:rsid w:val="004E6E19"/>
    <w:rsid w:val="004F2F6A"/>
    <w:rsid w:val="00502DEA"/>
    <w:rsid w:val="00503D9C"/>
    <w:rsid w:val="00503F7B"/>
    <w:rsid w:val="00504049"/>
    <w:rsid w:val="00520D33"/>
    <w:rsid w:val="005561EA"/>
    <w:rsid w:val="005A6735"/>
    <w:rsid w:val="005C6E7B"/>
    <w:rsid w:val="005D7E19"/>
    <w:rsid w:val="00626C0A"/>
    <w:rsid w:val="006B2CA5"/>
    <w:rsid w:val="006C67CE"/>
    <w:rsid w:val="006C6DFC"/>
    <w:rsid w:val="00700861"/>
    <w:rsid w:val="0074353C"/>
    <w:rsid w:val="00753400"/>
    <w:rsid w:val="007A51B3"/>
    <w:rsid w:val="007B699D"/>
    <w:rsid w:val="007D14E4"/>
    <w:rsid w:val="00874B4A"/>
    <w:rsid w:val="008839DF"/>
    <w:rsid w:val="008B23A2"/>
    <w:rsid w:val="008D70C2"/>
    <w:rsid w:val="00901D5B"/>
    <w:rsid w:val="009B6F5F"/>
    <w:rsid w:val="009D0772"/>
    <w:rsid w:val="009E1AFA"/>
    <w:rsid w:val="009E7E17"/>
    <w:rsid w:val="00A12DCF"/>
    <w:rsid w:val="00A135A8"/>
    <w:rsid w:val="00A14091"/>
    <w:rsid w:val="00A17201"/>
    <w:rsid w:val="00A541B9"/>
    <w:rsid w:val="00A848FD"/>
    <w:rsid w:val="00AA728C"/>
    <w:rsid w:val="00AB5D54"/>
    <w:rsid w:val="00AD2C3F"/>
    <w:rsid w:val="00AD6350"/>
    <w:rsid w:val="00B048D6"/>
    <w:rsid w:val="00B735B7"/>
    <w:rsid w:val="00BB7810"/>
    <w:rsid w:val="00BD3EDB"/>
    <w:rsid w:val="00BD5F26"/>
    <w:rsid w:val="00C84DDD"/>
    <w:rsid w:val="00C93F2E"/>
    <w:rsid w:val="00C94D56"/>
    <w:rsid w:val="00C9787C"/>
    <w:rsid w:val="00CA21ED"/>
    <w:rsid w:val="00CA3534"/>
    <w:rsid w:val="00CB0BD6"/>
    <w:rsid w:val="00D0418B"/>
    <w:rsid w:val="00D10111"/>
    <w:rsid w:val="00D41476"/>
    <w:rsid w:val="00D84100"/>
    <w:rsid w:val="00DB22E2"/>
    <w:rsid w:val="00DD63D9"/>
    <w:rsid w:val="00DF0CF2"/>
    <w:rsid w:val="00E91EA3"/>
    <w:rsid w:val="00EA1EA3"/>
    <w:rsid w:val="00EB4021"/>
    <w:rsid w:val="00EC5554"/>
    <w:rsid w:val="00ED31BC"/>
    <w:rsid w:val="00F253C5"/>
    <w:rsid w:val="00F33B89"/>
    <w:rsid w:val="00F66BC5"/>
    <w:rsid w:val="00F74D18"/>
    <w:rsid w:val="00FC4802"/>
    <w:rsid w:val="00FD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B9EBB"/>
  <w15:chartTrackingRefBased/>
  <w15:docId w15:val="{AEB5B9A5-077F-4155-BAAC-21B5E65E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F2E"/>
    <w:pPr>
      <w:spacing w:after="0"/>
    </w:pPr>
    <w:rPr>
      <w:color w:val="333333" w:themeColor="text2"/>
      <w:sz w:val="24"/>
    </w:rPr>
  </w:style>
  <w:style w:type="paragraph" w:styleId="Heading1">
    <w:name w:val="heading 1"/>
    <w:basedOn w:val="Normal"/>
    <w:next w:val="Normal"/>
    <w:link w:val="Heading1Char"/>
    <w:uiPriority w:val="9"/>
    <w:qFormat/>
    <w:rsid w:val="0046497E"/>
    <w:pPr>
      <w:keepNext/>
      <w:keepLines/>
      <w:spacing w:after="320"/>
      <w:outlineLvl w:val="0"/>
    </w:pPr>
    <w:rPr>
      <w:rFonts w:asciiTheme="majorHAnsi" w:eastAsiaTheme="majorEastAsia" w:hAnsiTheme="majorHAnsi" w:cstheme="majorBidi"/>
      <w:b/>
      <w:color w:val="00B2A1" w:themeColor="accent6"/>
      <w:sz w:val="40"/>
      <w:szCs w:val="32"/>
    </w:rPr>
  </w:style>
  <w:style w:type="paragraph" w:styleId="Heading2">
    <w:name w:val="heading 2"/>
    <w:basedOn w:val="Normal"/>
    <w:next w:val="Normal"/>
    <w:link w:val="Heading2Char"/>
    <w:uiPriority w:val="9"/>
    <w:unhideWhenUsed/>
    <w:qFormat/>
    <w:rsid w:val="00C93F2E"/>
    <w:pPr>
      <w:keepNext/>
      <w:keepLines/>
      <w:spacing w:after="12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0711A5"/>
    <w:pPr>
      <w:keepNext/>
      <w:keepLines/>
      <w:spacing w:after="12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F2"/>
    <w:pPr>
      <w:tabs>
        <w:tab w:val="center" w:pos="4513"/>
        <w:tab w:val="right" w:pos="9026"/>
      </w:tabs>
      <w:spacing w:line="240" w:lineRule="auto"/>
    </w:pPr>
  </w:style>
  <w:style w:type="character" w:customStyle="1" w:styleId="HeaderChar">
    <w:name w:val="Header Char"/>
    <w:basedOn w:val="DefaultParagraphFont"/>
    <w:link w:val="Header"/>
    <w:uiPriority w:val="99"/>
    <w:rsid w:val="00DF0CF2"/>
    <w:rPr>
      <w:sz w:val="24"/>
    </w:rPr>
  </w:style>
  <w:style w:type="paragraph" w:styleId="Footer">
    <w:name w:val="footer"/>
    <w:basedOn w:val="Normal"/>
    <w:link w:val="FooterChar"/>
    <w:uiPriority w:val="99"/>
    <w:unhideWhenUsed/>
    <w:rsid w:val="001B0D79"/>
    <w:pPr>
      <w:tabs>
        <w:tab w:val="center" w:pos="4513"/>
        <w:tab w:val="right" w:pos="9026"/>
      </w:tabs>
      <w:spacing w:line="240" w:lineRule="auto"/>
    </w:pPr>
  </w:style>
  <w:style w:type="character" w:customStyle="1" w:styleId="FooterChar">
    <w:name w:val="Footer Char"/>
    <w:basedOn w:val="DefaultParagraphFont"/>
    <w:link w:val="Footer"/>
    <w:uiPriority w:val="99"/>
    <w:rsid w:val="001B0D79"/>
    <w:rPr>
      <w:color w:val="333333" w:themeColor="text2"/>
      <w:sz w:val="24"/>
    </w:rPr>
  </w:style>
  <w:style w:type="character" w:customStyle="1" w:styleId="Heading1Char">
    <w:name w:val="Heading 1 Char"/>
    <w:basedOn w:val="DefaultParagraphFont"/>
    <w:link w:val="Heading1"/>
    <w:uiPriority w:val="9"/>
    <w:rsid w:val="0046497E"/>
    <w:rPr>
      <w:rFonts w:asciiTheme="majorHAnsi" w:eastAsiaTheme="majorEastAsia" w:hAnsiTheme="majorHAnsi" w:cstheme="majorBidi"/>
      <w:b/>
      <w:color w:val="00B2A1" w:themeColor="accent6"/>
      <w:sz w:val="40"/>
      <w:szCs w:val="32"/>
    </w:rPr>
  </w:style>
  <w:style w:type="character" w:customStyle="1" w:styleId="Heading2Char">
    <w:name w:val="Heading 2 Char"/>
    <w:basedOn w:val="DefaultParagraphFont"/>
    <w:link w:val="Heading2"/>
    <w:uiPriority w:val="9"/>
    <w:rsid w:val="00C93F2E"/>
    <w:rPr>
      <w:rFonts w:asciiTheme="majorHAnsi" w:eastAsiaTheme="majorEastAsia" w:hAnsiTheme="majorHAnsi" w:cstheme="majorBidi"/>
      <w:b/>
      <w:color w:val="333333" w:themeColor="text2"/>
      <w:sz w:val="32"/>
      <w:szCs w:val="26"/>
    </w:rPr>
  </w:style>
  <w:style w:type="character" w:customStyle="1" w:styleId="Heading3Char">
    <w:name w:val="Heading 3 Char"/>
    <w:basedOn w:val="DefaultParagraphFont"/>
    <w:link w:val="Heading3"/>
    <w:uiPriority w:val="9"/>
    <w:rsid w:val="000711A5"/>
    <w:rPr>
      <w:rFonts w:asciiTheme="majorHAnsi" w:eastAsiaTheme="majorEastAsia" w:hAnsiTheme="majorHAnsi" w:cstheme="majorBidi"/>
      <w:b/>
      <w:color w:val="333333" w:themeColor="text2"/>
      <w:sz w:val="24"/>
      <w:szCs w:val="24"/>
    </w:rPr>
  </w:style>
  <w:style w:type="paragraph" w:customStyle="1" w:styleId="IntroParagraph">
    <w:name w:val="Intro Paragraph"/>
    <w:basedOn w:val="Normal"/>
    <w:qFormat/>
    <w:rsid w:val="00AD6350"/>
    <w:pPr>
      <w:spacing w:line="228" w:lineRule="auto"/>
    </w:pPr>
    <w:rPr>
      <w:sz w:val="32"/>
    </w:rPr>
  </w:style>
  <w:style w:type="paragraph" w:customStyle="1" w:styleId="ReportTitle">
    <w:name w:val="Report Title"/>
    <w:basedOn w:val="Normal"/>
    <w:qFormat/>
    <w:rsid w:val="00EB4021"/>
    <w:pPr>
      <w:spacing w:line="216" w:lineRule="auto"/>
      <w:ind w:right="3289"/>
    </w:pPr>
    <w:rPr>
      <w:b/>
      <w:color w:val="00B2A1" w:themeColor="accent6"/>
      <w:sz w:val="80"/>
    </w:rPr>
  </w:style>
  <w:style w:type="paragraph" w:customStyle="1" w:styleId="ReportSubtitle">
    <w:name w:val="Report Subtitle"/>
    <w:basedOn w:val="Normal"/>
    <w:qFormat/>
    <w:rsid w:val="00EB4021"/>
    <w:pPr>
      <w:ind w:right="2835"/>
    </w:pPr>
    <w:rPr>
      <w:b/>
      <w:sz w:val="40"/>
    </w:rPr>
  </w:style>
  <w:style w:type="table" w:styleId="TableGrid">
    <w:name w:val="Table Grid"/>
    <w:basedOn w:val="TableNormal"/>
    <w:uiPriority w:val="39"/>
    <w:rsid w:val="00BB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IssueNo">
    <w:name w:val="Cover Issue No."/>
    <w:basedOn w:val="Normal"/>
    <w:qFormat/>
    <w:rsid w:val="00EB4021"/>
    <w:pPr>
      <w:framePr w:hSpace="181" w:wrap="around" w:vAnchor="page" w:hAnchor="text" w:y="13609"/>
      <w:spacing w:line="240" w:lineRule="auto"/>
      <w:suppressOverlap/>
    </w:pPr>
    <w:rPr>
      <w:b/>
      <w:sz w:val="32"/>
    </w:rPr>
  </w:style>
  <w:style w:type="paragraph" w:customStyle="1" w:styleId="CoverVersion">
    <w:name w:val="Cover Version"/>
    <w:basedOn w:val="Normal"/>
    <w:qFormat/>
    <w:rsid w:val="00EB4021"/>
    <w:pPr>
      <w:framePr w:hSpace="181" w:wrap="around" w:vAnchor="page" w:hAnchor="text" w:y="13609"/>
      <w:spacing w:line="240" w:lineRule="auto"/>
      <w:suppressOverlap/>
    </w:pPr>
    <w:rPr>
      <w:b/>
      <w:sz w:val="32"/>
    </w:rPr>
  </w:style>
  <w:style w:type="paragraph" w:customStyle="1" w:styleId="FooterRule">
    <w:name w:val="Footer Rule"/>
    <w:basedOn w:val="Normal"/>
    <w:qFormat/>
    <w:rsid w:val="001B0D79"/>
    <w:pPr>
      <w:pBdr>
        <w:top w:val="single" w:sz="8" w:space="1" w:color="00B2A1" w:themeColor="accent6"/>
      </w:pBdr>
    </w:pPr>
    <w:rPr>
      <w:sz w:val="8"/>
    </w:rPr>
  </w:style>
  <w:style w:type="paragraph" w:customStyle="1" w:styleId="CoverDate">
    <w:name w:val="Cover Date"/>
    <w:basedOn w:val="Normal"/>
    <w:qFormat/>
    <w:rsid w:val="00EB4021"/>
    <w:rPr>
      <w:b/>
      <w:sz w:val="32"/>
    </w:rPr>
  </w:style>
  <w:style w:type="paragraph" w:customStyle="1" w:styleId="H1nocontents">
    <w:name w:val="H1 (no contents)"/>
    <w:basedOn w:val="Normal"/>
    <w:qFormat/>
    <w:rsid w:val="009B6F5F"/>
    <w:pPr>
      <w:spacing w:after="300"/>
    </w:pPr>
    <w:rPr>
      <w:b/>
      <w:color w:val="00B2A1" w:themeColor="accent6"/>
      <w:sz w:val="40"/>
    </w:rPr>
  </w:style>
  <w:style w:type="paragraph" w:styleId="BodyText">
    <w:name w:val="Body Text"/>
    <w:basedOn w:val="Normal"/>
    <w:link w:val="BodyTextChar"/>
    <w:uiPriority w:val="99"/>
    <w:unhideWhenUsed/>
    <w:rsid w:val="00C93F2E"/>
    <w:pPr>
      <w:spacing w:after="120"/>
    </w:pPr>
  </w:style>
  <w:style w:type="character" w:customStyle="1" w:styleId="BodyTextChar">
    <w:name w:val="Body Text Char"/>
    <w:basedOn w:val="DefaultParagraphFont"/>
    <w:link w:val="BodyText"/>
    <w:uiPriority w:val="99"/>
    <w:rsid w:val="00C93F2E"/>
    <w:rPr>
      <w:color w:val="333333" w:themeColor="text2"/>
      <w:sz w:val="24"/>
    </w:rPr>
  </w:style>
  <w:style w:type="paragraph" w:customStyle="1" w:styleId="bclist">
    <w:name w:val="b) c) list"/>
    <w:basedOn w:val="Normal"/>
    <w:qFormat/>
    <w:rsid w:val="00C93F2E"/>
    <w:pPr>
      <w:numPr>
        <w:numId w:val="11"/>
      </w:numPr>
      <w:spacing w:after="120"/>
      <w:ind w:left="851" w:hanging="284"/>
    </w:pPr>
  </w:style>
  <w:style w:type="paragraph" w:customStyle="1" w:styleId="Numberedtext">
    <w:name w:val="Numbered text"/>
    <w:basedOn w:val="Normal"/>
    <w:qFormat/>
    <w:rsid w:val="00061215"/>
    <w:pPr>
      <w:numPr>
        <w:numId w:val="12"/>
      </w:numPr>
      <w:spacing w:after="120"/>
      <w:ind w:left="284" w:hanging="284"/>
    </w:pPr>
  </w:style>
  <w:style w:type="paragraph" w:customStyle="1" w:styleId="BulletedText">
    <w:name w:val="Bulleted Text"/>
    <w:basedOn w:val="Normal"/>
    <w:qFormat/>
    <w:rsid w:val="00061215"/>
    <w:pPr>
      <w:numPr>
        <w:numId w:val="13"/>
      </w:numPr>
      <w:spacing w:after="120"/>
      <w:ind w:left="851" w:hanging="284"/>
    </w:pPr>
  </w:style>
  <w:style w:type="paragraph" w:styleId="FootnoteText">
    <w:name w:val="footnote text"/>
    <w:basedOn w:val="Normal"/>
    <w:link w:val="FootnoteTextChar"/>
    <w:uiPriority w:val="99"/>
    <w:semiHidden/>
    <w:unhideWhenUsed/>
    <w:rsid w:val="00B735B7"/>
    <w:pPr>
      <w:spacing w:line="240" w:lineRule="auto"/>
    </w:pPr>
    <w:rPr>
      <w:sz w:val="20"/>
      <w:szCs w:val="20"/>
    </w:rPr>
  </w:style>
  <w:style w:type="character" w:customStyle="1" w:styleId="FootnoteTextChar">
    <w:name w:val="Footnote Text Char"/>
    <w:basedOn w:val="DefaultParagraphFont"/>
    <w:link w:val="FootnoteText"/>
    <w:uiPriority w:val="99"/>
    <w:semiHidden/>
    <w:rsid w:val="00B735B7"/>
    <w:rPr>
      <w:color w:val="333333" w:themeColor="text2"/>
      <w:sz w:val="20"/>
      <w:szCs w:val="20"/>
    </w:rPr>
  </w:style>
  <w:style w:type="character" w:styleId="FootnoteReference">
    <w:name w:val="footnote reference"/>
    <w:basedOn w:val="DefaultParagraphFont"/>
    <w:uiPriority w:val="99"/>
    <w:semiHidden/>
    <w:unhideWhenUsed/>
    <w:rsid w:val="00B735B7"/>
    <w:rPr>
      <w:vertAlign w:val="superscript"/>
    </w:rPr>
  </w:style>
  <w:style w:type="paragraph" w:customStyle="1" w:styleId="ChartTitle">
    <w:name w:val="Chart Title"/>
    <w:basedOn w:val="Normal"/>
    <w:qFormat/>
    <w:rsid w:val="00B735B7"/>
    <w:rPr>
      <w:b/>
      <w:color w:val="00B2A1" w:themeColor="accent6"/>
      <w:sz w:val="32"/>
    </w:rPr>
  </w:style>
  <w:style w:type="paragraph" w:styleId="TOC1">
    <w:name w:val="toc 1"/>
    <w:basedOn w:val="Normal"/>
    <w:next w:val="Normal"/>
    <w:autoRedefine/>
    <w:uiPriority w:val="39"/>
    <w:unhideWhenUsed/>
    <w:rsid w:val="00503F7B"/>
    <w:pPr>
      <w:pBdr>
        <w:top w:val="single" w:sz="4" w:space="1" w:color="auto"/>
      </w:pBdr>
      <w:spacing w:before="180" w:after="100"/>
    </w:pPr>
    <w:rPr>
      <w:b/>
      <w:sz w:val="28"/>
    </w:rPr>
  </w:style>
  <w:style w:type="paragraph" w:styleId="TOC2">
    <w:name w:val="toc 2"/>
    <w:basedOn w:val="Normal"/>
    <w:next w:val="Normal"/>
    <w:autoRedefine/>
    <w:uiPriority w:val="39"/>
    <w:unhideWhenUsed/>
    <w:rsid w:val="00503F7B"/>
    <w:pPr>
      <w:spacing w:after="100"/>
      <w:ind w:left="240"/>
    </w:pPr>
  </w:style>
  <w:style w:type="paragraph" w:styleId="TOC3">
    <w:name w:val="toc 3"/>
    <w:basedOn w:val="Normal"/>
    <w:next w:val="Normal"/>
    <w:autoRedefine/>
    <w:uiPriority w:val="39"/>
    <w:unhideWhenUsed/>
    <w:rsid w:val="00503F7B"/>
    <w:pPr>
      <w:spacing w:after="100"/>
      <w:ind w:left="480"/>
    </w:pPr>
  </w:style>
  <w:style w:type="character" w:styleId="Hyperlink">
    <w:name w:val="Hyperlink"/>
    <w:basedOn w:val="DefaultParagraphFont"/>
    <w:uiPriority w:val="99"/>
    <w:unhideWhenUsed/>
    <w:rsid w:val="00503F7B"/>
    <w:rPr>
      <w:color w:val="0563C1" w:themeColor="hyperlink"/>
      <w:u w:val="single"/>
    </w:rPr>
  </w:style>
  <w:style w:type="paragraph" w:customStyle="1" w:styleId="Horizontalline">
    <w:name w:val="Horizontal line"/>
    <w:basedOn w:val="Normal"/>
    <w:qFormat/>
    <w:rsid w:val="00503F7B"/>
    <w:pPr>
      <w:pBdr>
        <w:top w:val="single" w:sz="4" w:space="1" w:color="333333" w:themeColor="text2"/>
      </w:pBdr>
    </w:pPr>
  </w:style>
  <w:style w:type="character" w:styleId="FollowedHyperlink">
    <w:name w:val="FollowedHyperlink"/>
    <w:basedOn w:val="DefaultParagraphFont"/>
    <w:uiPriority w:val="99"/>
    <w:semiHidden/>
    <w:unhideWhenUsed/>
    <w:rsid w:val="005D7E19"/>
    <w:rPr>
      <w:color w:val="954F72" w:themeColor="followedHyperlink"/>
      <w:u w:val="single"/>
    </w:rPr>
  </w:style>
  <w:style w:type="paragraph" w:styleId="ListParagraph">
    <w:name w:val="List Paragraph"/>
    <w:basedOn w:val="Normal"/>
    <w:uiPriority w:val="34"/>
    <w:qFormat/>
    <w:rsid w:val="005D7E19"/>
    <w:pPr>
      <w:spacing w:after="200" w:line="276" w:lineRule="auto"/>
      <w:ind w:left="720"/>
      <w:contextualSpacing/>
    </w:pPr>
    <w:rPr>
      <w:color w:val="auto"/>
      <w:sz w:val="22"/>
    </w:rPr>
  </w:style>
  <w:style w:type="paragraph" w:styleId="CommentText">
    <w:name w:val="annotation text"/>
    <w:basedOn w:val="Normal"/>
    <w:link w:val="CommentTextChar"/>
    <w:uiPriority w:val="99"/>
    <w:semiHidden/>
    <w:unhideWhenUsed/>
    <w:rsid w:val="005D7E19"/>
    <w:pPr>
      <w:spacing w:line="240" w:lineRule="auto"/>
    </w:pPr>
    <w:rPr>
      <w:sz w:val="20"/>
      <w:szCs w:val="20"/>
    </w:rPr>
  </w:style>
  <w:style w:type="character" w:customStyle="1" w:styleId="CommentTextChar">
    <w:name w:val="Comment Text Char"/>
    <w:basedOn w:val="DefaultParagraphFont"/>
    <w:link w:val="CommentText"/>
    <w:uiPriority w:val="99"/>
    <w:semiHidden/>
    <w:rsid w:val="005D7E19"/>
    <w:rPr>
      <w:color w:val="333333" w:themeColor="text2"/>
      <w:sz w:val="20"/>
      <w:szCs w:val="20"/>
    </w:rPr>
  </w:style>
  <w:style w:type="paragraph" w:styleId="CommentSubject">
    <w:name w:val="annotation subject"/>
    <w:basedOn w:val="CommentText"/>
    <w:next w:val="CommentText"/>
    <w:link w:val="CommentSubjectChar"/>
    <w:uiPriority w:val="99"/>
    <w:semiHidden/>
    <w:unhideWhenUsed/>
    <w:rsid w:val="005D7E19"/>
    <w:pPr>
      <w:spacing w:after="200"/>
    </w:pPr>
    <w:rPr>
      <w:b/>
      <w:bCs/>
      <w:color w:val="auto"/>
    </w:rPr>
  </w:style>
  <w:style w:type="character" w:customStyle="1" w:styleId="CommentSubjectChar">
    <w:name w:val="Comment Subject Char"/>
    <w:basedOn w:val="CommentTextChar"/>
    <w:link w:val="CommentSubject"/>
    <w:uiPriority w:val="99"/>
    <w:semiHidden/>
    <w:rsid w:val="005D7E19"/>
    <w:rPr>
      <w:b/>
      <w:bCs/>
      <w:color w:val="333333" w:themeColor="text2"/>
      <w:sz w:val="20"/>
      <w:szCs w:val="20"/>
    </w:rPr>
  </w:style>
  <w:style w:type="paragraph" w:customStyle="1" w:styleId="Default">
    <w:name w:val="Default"/>
    <w:rsid w:val="005D7E19"/>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ui-provider">
    <w:name w:val="ui-provider"/>
    <w:basedOn w:val="DefaultParagraphFont"/>
    <w:rsid w:val="005D7E19"/>
  </w:style>
  <w:style w:type="paragraph" w:customStyle="1" w:styleId="paragraph">
    <w:name w:val="paragraph"/>
    <w:basedOn w:val="Normal"/>
    <w:rsid w:val="00A12DCF"/>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eop">
    <w:name w:val="eop"/>
    <w:basedOn w:val="DefaultParagraphFont"/>
    <w:rsid w:val="00A12DCF"/>
  </w:style>
  <w:style w:type="character" w:styleId="UnresolvedMention">
    <w:name w:val="Unresolved Mention"/>
    <w:basedOn w:val="DefaultParagraphFont"/>
    <w:uiPriority w:val="99"/>
    <w:semiHidden/>
    <w:unhideWhenUsed/>
    <w:rsid w:val="00C84DDD"/>
    <w:rPr>
      <w:color w:val="605E5C"/>
      <w:shd w:val="clear" w:color="auto" w:fill="E1DFDD"/>
    </w:rPr>
  </w:style>
  <w:style w:type="paragraph" w:customStyle="1" w:styleId="Heading1Numbered">
    <w:name w:val="Heading 1 Numbered"/>
    <w:basedOn w:val="Heading1"/>
    <w:next w:val="BodyText"/>
    <w:uiPriority w:val="4"/>
    <w:qFormat/>
    <w:rsid w:val="00221965"/>
    <w:pPr>
      <w:numPr>
        <w:numId w:val="21"/>
      </w:numPr>
      <w:spacing w:before="240" w:after="120" w:line="240" w:lineRule="auto"/>
    </w:pPr>
    <w:rPr>
      <w:rFonts w:asciiTheme="minorHAnsi" w:hAnsiTheme="minorHAnsi"/>
      <w:bCs/>
      <w:color w:val="7CC400"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266852">
      <w:bodyDiv w:val="1"/>
      <w:marLeft w:val="0"/>
      <w:marRight w:val="0"/>
      <w:marTop w:val="0"/>
      <w:marBottom w:val="0"/>
      <w:divBdr>
        <w:top w:val="none" w:sz="0" w:space="0" w:color="auto"/>
        <w:left w:val="none" w:sz="0" w:space="0" w:color="auto"/>
        <w:bottom w:val="none" w:sz="0" w:space="0" w:color="auto"/>
        <w:right w:val="none" w:sz="0" w:space="0" w:color="auto"/>
      </w:divBdr>
      <w:divsChild>
        <w:div w:id="76177212">
          <w:marLeft w:val="0"/>
          <w:marRight w:val="0"/>
          <w:marTop w:val="0"/>
          <w:marBottom w:val="0"/>
          <w:divBdr>
            <w:top w:val="none" w:sz="0" w:space="0" w:color="auto"/>
            <w:left w:val="none" w:sz="0" w:space="0" w:color="auto"/>
            <w:bottom w:val="none" w:sz="0" w:space="0" w:color="auto"/>
            <w:right w:val="none" w:sz="0" w:space="0" w:color="auto"/>
          </w:divBdr>
        </w:div>
        <w:div w:id="568005497">
          <w:marLeft w:val="0"/>
          <w:marRight w:val="0"/>
          <w:marTop w:val="0"/>
          <w:marBottom w:val="0"/>
          <w:divBdr>
            <w:top w:val="none" w:sz="0" w:space="0" w:color="auto"/>
            <w:left w:val="none" w:sz="0" w:space="0" w:color="auto"/>
            <w:bottom w:val="none" w:sz="0" w:space="0" w:color="auto"/>
            <w:right w:val="none" w:sz="0" w:space="0" w:color="auto"/>
          </w:divBdr>
        </w:div>
      </w:divsChild>
    </w:div>
    <w:div w:id="1317606164">
      <w:bodyDiv w:val="1"/>
      <w:marLeft w:val="0"/>
      <w:marRight w:val="0"/>
      <w:marTop w:val="0"/>
      <w:marBottom w:val="0"/>
      <w:divBdr>
        <w:top w:val="none" w:sz="0" w:space="0" w:color="auto"/>
        <w:left w:val="none" w:sz="0" w:space="0" w:color="auto"/>
        <w:bottom w:val="none" w:sz="0" w:space="0" w:color="auto"/>
        <w:right w:val="none" w:sz="0" w:space="0" w:color="auto"/>
      </w:divBdr>
      <w:divsChild>
        <w:div w:id="1101295103">
          <w:marLeft w:val="0"/>
          <w:marRight w:val="0"/>
          <w:marTop w:val="0"/>
          <w:marBottom w:val="0"/>
          <w:divBdr>
            <w:top w:val="none" w:sz="0" w:space="0" w:color="auto"/>
            <w:left w:val="none" w:sz="0" w:space="0" w:color="auto"/>
            <w:bottom w:val="none" w:sz="0" w:space="0" w:color="auto"/>
            <w:right w:val="none" w:sz="0" w:space="0" w:color="auto"/>
          </w:divBdr>
        </w:div>
        <w:div w:id="1838961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nationalgas.com/gas-system-status"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ationalgas.com/our-businesses/margins-notice-gas-balancing-notification"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gillan\Desktop\I%20HAVE%20A%20QUERY%20DOC%20UPDATED.dotx" TargetMode="External"/></Relationships>
</file>

<file path=word/theme/theme1.xml><?xml version="1.0" encoding="utf-8"?>
<a:theme xmlns:a="http://schemas.openxmlformats.org/drawingml/2006/main" name="Office Theme">
  <a:themeElements>
    <a:clrScheme name="Custom 190">
      <a:dk1>
        <a:sysClr val="windowText" lastClr="000000"/>
      </a:dk1>
      <a:lt1>
        <a:sysClr val="window" lastClr="FFFFFF"/>
      </a:lt1>
      <a:dk2>
        <a:srgbClr val="333333"/>
      </a:dk2>
      <a:lt2>
        <a:srgbClr val="E7E6E6"/>
      </a:lt2>
      <a:accent1>
        <a:srgbClr val="7CC400"/>
      </a:accent1>
      <a:accent2>
        <a:srgbClr val="007B34"/>
      </a:accent2>
      <a:accent3>
        <a:srgbClr val="00857A"/>
      </a:accent3>
      <a:accent4>
        <a:srgbClr val="004C9D"/>
      </a:accent4>
      <a:accent5>
        <a:srgbClr val="32C8FA"/>
      </a:accent5>
      <a:accent6>
        <a:srgbClr val="00B2A1"/>
      </a:accent6>
      <a:hlink>
        <a:srgbClr val="0563C1"/>
      </a:hlink>
      <a:folHlink>
        <a:srgbClr val="954F72"/>
      </a:folHlink>
    </a:clrScheme>
    <a:fontScheme name="Custom 74">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C04B8B39E81A45BB23B658E64D401A" ma:contentTypeVersion="14" ma:contentTypeDescription="Create a new document." ma:contentTypeScope="" ma:versionID="00823347950b9d40142b6b4fb862aec4">
  <xsd:schema xmlns:xsd="http://www.w3.org/2001/XMLSchema" xmlns:xs="http://www.w3.org/2001/XMLSchema" xmlns:p="http://schemas.microsoft.com/office/2006/metadata/properties" xmlns:ns2="fd3f14cf-c43e-4448-85f1-d3a36c181a0a" xmlns:ns3="cadce026-d35b-4a62-a2ee-1436bb44fb55" xmlns:ns4="a618e47c-7853-4507-a12e-9186dea01ba6" targetNamespace="http://schemas.microsoft.com/office/2006/metadata/properties" ma:root="true" ma:fieldsID="aa5db07e77e4904f17d3633fec72de78" ns2:_="" ns3:_="" ns4:_="">
    <xsd:import namespace="fd3f14cf-c43e-4448-85f1-d3a36c181a0a"/>
    <xsd:import namespace="cadce026-d35b-4a62-a2ee-1436bb44fb55"/>
    <xsd:import namespace="a618e47c-7853-4507-a12e-9186dea01ba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element ref="ns2:befc8a1d9551445aa23483994debf5e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f14cf-c43e-4448-85f1-d3a36c181a0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befc8a1d9551445aa23483994debf5e3" ma:index="20" nillable="true" ma:taxonomy="true" ma:internalName="befc8a1d9551445aa23483994debf5e3" ma:taxonomyFieldName="TEST" ma:displayName="TEST" ma:default="" ma:fieldId="{befc8a1d-9551-445a-a234-83994debf5e3}" ma:sspId="f571c05a-9bf0-4b0b-ad97-e13aed49ba31" ma:termSetId="386095d1-c68d-4c6d-b587-48ddaf1aecc9" ma:anchorId="00000000-0000-0000-0000-000000000000"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5620694-b4ce-47f1-a80c-9b741e226940}" ma:internalName="TaxCatchAll" ma:showField="CatchAllData" ma:web="a618e47c-7853-4507-a12e-9186dea01b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18e47c-7853-4507-a12e-9186dea01b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befc8a1d9551445aa23483994debf5e3 xmlns="fd3f14cf-c43e-4448-85f1-d3a36c181a0a">
      <Terms xmlns="http://schemas.microsoft.com/office/infopath/2007/PartnerControls"/>
    </befc8a1d9551445aa23483994debf5e3>
    <lcf76f155ced4ddcb4097134ff3c332f xmlns="fd3f14cf-c43e-4448-85f1-d3a36c181a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3AE83C-A99D-4C3D-9FF1-EDBB241832F2}">
  <ds:schemaRefs>
    <ds:schemaRef ds:uri="http://schemas.microsoft.com/sharepoint/v3/contenttype/forms"/>
  </ds:schemaRefs>
</ds:datastoreItem>
</file>

<file path=customXml/itemProps2.xml><?xml version="1.0" encoding="utf-8"?>
<ds:datastoreItem xmlns:ds="http://schemas.openxmlformats.org/officeDocument/2006/customXml" ds:itemID="{5F5D6161-0A9F-4BE0-B9C9-DE2F3F2FE113}">
  <ds:schemaRefs>
    <ds:schemaRef ds:uri="http://schemas.openxmlformats.org/officeDocument/2006/bibliography"/>
  </ds:schemaRefs>
</ds:datastoreItem>
</file>

<file path=customXml/itemProps3.xml><?xml version="1.0" encoding="utf-8"?>
<ds:datastoreItem xmlns:ds="http://schemas.openxmlformats.org/officeDocument/2006/customXml" ds:itemID="{64759FB8-A9B4-4E5E-9FAE-2BFC39DC8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f14cf-c43e-4448-85f1-d3a36c181a0a"/>
    <ds:schemaRef ds:uri="cadce026-d35b-4a62-a2ee-1436bb44fb55"/>
    <ds:schemaRef ds:uri="a618e47c-7853-4507-a12e-9186dea01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A4B259-E443-44D4-BA14-35EC5BFE51BA}">
  <ds:schemaRefs>
    <ds:schemaRef ds:uri="http://schemas.microsoft.com/office/2006/metadata/properties"/>
    <ds:schemaRef ds:uri="http://schemas.microsoft.com/office/infopath/2007/PartnerControls"/>
    <ds:schemaRef ds:uri="cadce026-d35b-4a62-a2ee-1436bb44fb55"/>
    <ds:schemaRef ds:uri="fd3f14cf-c43e-4448-85f1-d3a36c181a0a"/>
  </ds:schemaRefs>
</ds:datastoreItem>
</file>

<file path=docProps/app.xml><?xml version="1.0" encoding="utf-8"?>
<Properties xmlns="http://schemas.openxmlformats.org/officeDocument/2006/extended-properties" xmlns:vt="http://schemas.openxmlformats.org/officeDocument/2006/docPropsVTypes">
  <Template>I HAVE A QUERY DOC UPDATED</Template>
  <TotalTime>19</TotalTime>
  <Pages>8</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Gillan, Charlotte</dc:creator>
  <cp:keywords/>
  <dc:description/>
  <cp:lastModifiedBy>Gary Barnes</cp:lastModifiedBy>
  <cp:revision>11</cp:revision>
  <cp:lastPrinted>2024-05-17T10:45:00Z</cp:lastPrinted>
  <dcterms:created xsi:type="dcterms:W3CDTF">2025-01-14T16:40:00Z</dcterms:created>
  <dcterms:modified xsi:type="dcterms:W3CDTF">2025-01-15T11:59:00Z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0x01010082C04B8B39E81A45BB23B658E64D401A</vt:lpwstr>
  </property>
  <property fmtid="{D5CDD505-2E9C-101B-9397-08002B2CF9AE}" pid="3" name="MSIP_Label_6b4219f1-4f00-48e0-b310-032f85269d6d_Enabled">
    <vt:lpwstr>true</vt:lpwstr>
  </property>
  <property fmtid="{D5CDD505-2E9C-101B-9397-08002B2CF9AE}" pid="4" name="MSIP_Label_6b4219f1-4f00-48e0-b310-032f85269d6d_SetDate">
    <vt:lpwstr>2025-01-14T16:40:35Z</vt:lpwstr>
  </property>
  <property fmtid="{D5CDD505-2E9C-101B-9397-08002B2CF9AE}" pid="5" name="MSIP_Label_6b4219f1-4f00-48e0-b310-032f85269d6d_Method">
    <vt:lpwstr>Standard</vt:lpwstr>
  </property>
  <property fmtid="{D5CDD505-2E9C-101B-9397-08002B2CF9AE}" pid="6" name="MSIP_Label_6b4219f1-4f00-48e0-b310-032f85269d6d_Name">
    <vt:lpwstr>Official</vt:lpwstr>
  </property>
  <property fmtid="{D5CDD505-2E9C-101B-9397-08002B2CF9AE}" pid="7" name="MSIP_Label_6b4219f1-4f00-48e0-b310-032f85269d6d_SiteId">
    <vt:lpwstr>b5d83618-97ea-48ec-b0be-8d4a7d678322</vt:lpwstr>
  </property>
  <property fmtid="{D5CDD505-2E9C-101B-9397-08002B2CF9AE}" pid="8" name="MSIP_Label_6b4219f1-4f00-48e0-b310-032f85269d6d_ActionId">
    <vt:lpwstr>e2555e1a-9f2c-472d-8478-ed74cc0745ec</vt:lpwstr>
  </property>
  <property fmtid="{D5CDD505-2E9C-101B-9397-08002B2CF9AE}" pid="9" name="MSIP_Label_6b4219f1-4f00-48e0-b310-032f85269d6d_ContentBits">
    <vt:lpwstr>0</vt:lpwstr>
  </property>
</Properties>
</file>